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B0" w:rsidRDefault="00AF6FB0"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B2514F">
      <w:pPr>
        <w:spacing w:after="0"/>
        <w:jc w:val="both"/>
        <w:rPr>
          <w:rFonts w:ascii="Trebuchet MS" w:hAnsi="Trebuchet MS"/>
          <w:sz w:val="20"/>
          <w:szCs w:val="20"/>
        </w:rPr>
      </w:pPr>
    </w:p>
    <w:p w:rsidR="00FA1D4C" w:rsidRDefault="00FA1D4C" w:rsidP="00B2514F">
      <w:pPr>
        <w:spacing w:after="0"/>
        <w:jc w:val="both"/>
        <w:rPr>
          <w:rFonts w:ascii="Trebuchet MS" w:hAnsi="Trebuchet MS"/>
          <w:sz w:val="20"/>
          <w:szCs w:val="20"/>
        </w:rPr>
      </w:pPr>
    </w:p>
    <w:p w:rsidR="00FA1D4C" w:rsidRPr="00B2514F" w:rsidRDefault="00FA1D4C" w:rsidP="00B2514F">
      <w:pPr>
        <w:spacing w:after="0"/>
        <w:jc w:val="both"/>
        <w:rPr>
          <w:rFonts w:asciiTheme="minorHAnsi" w:hAnsiTheme="minorHAnsi"/>
          <w:sz w:val="20"/>
          <w:szCs w:val="20"/>
        </w:rPr>
      </w:pPr>
    </w:p>
    <w:p w:rsidR="00FA1D4C" w:rsidRPr="003445BC" w:rsidRDefault="00FA1D4C" w:rsidP="00B2514F">
      <w:pPr>
        <w:spacing w:after="0" w:line="240" w:lineRule="auto"/>
        <w:jc w:val="both"/>
        <w:rPr>
          <w:rFonts w:asciiTheme="minorHAnsi" w:hAnsiTheme="minorHAnsi"/>
          <w:sz w:val="20"/>
          <w:szCs w:val="20"/>
        </w:rPr>
      </w:pPr>
    </w:p>
    <w:p w:rsidR="00FA1D4C" w:rsidRDefault="00806302" w:rsidP="00B2514F">
      <w:pPr>
        <w:spacing w:after="0" w:line="240" w:lineRule="auto"/>
        <w:jc w:val="center"/>
        <w:rPr>
          <w:rFonts w:asciiTheme="minorHAnsi" w:hAnsiTheme="minorHAnsi"/>
          <w:b/>
          <w:sz w:val="28"/>
          <w:szCs w:val="28"/>
        </w:rPr>
      </w:pPr>
      <w:r w:rsidRPr="00806302">
        <w:rPr>
          <w:rFonts w:asciiTheme="minorHAnsi" w:hAnsiTheme="minorHAnsi"/>
          <w:b/>
          <w:sz w:val="28"/>
          <w:szCs w:val="28"/>
        </w:rPr>
        <w:t>15</w:t>
      </w:r>
      <w:r w:rsidRPr="00B2514F">
        <w:rPr>
          <w:rFonts w:asciiTheme="minorHAnsi" w:hAnsiTheme="minorHAnsi"/>
          <w:b/>
          <w:sz w:val="28"/>
          <w:szCs w:val="28"/>
          <w:vertAlign w:val="superscript"/>
        </w:rPr>
        <w:t>th</w:t>
      </w:r>
      <w:r w:rsidRPr="003445BC">
        <w:rPr>
          <w:rFonts w:asciiTheme="minorHAnsi" w:hAnsiTheme="minorHAnsi"/>
          <w:b/>
          <w:sz w:val="28"/>
          <w:szCs w:val="28"/>
        </w:rPr>
        <w:t xml:space="preserve"> International Energy Forum Ministerial Meeting</w:t>
      </w:r>
    </w:p>
    <w:p w:rsidR="0050070E" w:rsidRPr="003445BC" w:rsidRDefault="0050070E" w:rsidP="00B2514F">
      <w:pPr>
        <w:spacing w:after="0" w:line="240" w:lineRule="auto"/>
        <w:jc w:val="center"/>
        <w:rPr>
          <w:rFonts w:asciiTheme="minorHAnsi" w:hAnsiTheme="minorHAnsi"/>
          <w:b/>
          <w:sz w:val="28"/>
          <w:szCs w:val="28"/>
        </w:rPr>
      </w:pPr>
    </w:p>
    <w:p w:rsidR="0050070E" w:rsidRPr="00036E88" w:rsidRDefault="0050070E" w:rsidP="0050070E">
      <w:pPr>
        <w:spacing w:after="0" w:line="240" w:lineRule="auto"/>
        <w:jc w:val="center"/>
        <w:rPr>
          <w:rFonts w:asciiTheme="minorHAnsi" w:hAnsiTheme="minorHAnsi"/>
          <w:b/>
          <w:sz w:val="28"/>
          <w:szCs w:val="28"/>
        </w:rPr>
      </w:pPr>
      <w:r w:rsidRPr="00036E88">
        <w:rPr>
          <w:rFonts w:asciiTheme="minorHAnsi" w:hAnsiTheme="minorHAnsi"/>
          <w:b/>
          <w:sz w:val="28"/>
          <w:szCs w:val="28"/>
        </w:rPr>
        <w:t xml:space="preserve">Background Paper by the </w:t>
      </w:r>
    </w:p>
    <w:p w:rsidR="0050070E" w:rsidRPr="00036E88" w:rsidRDefault="0050070E" w:rsidP="0050070E">
      <w:pPr>
        <w:spacing w:after="0" w:line="240" w:lineRule="auto"/>
        <w:jc w:val="center"/>
        <w:rPr>
          <w:rFonts w:asciiTheme="minorHAnsi" w:hAnsiTheme="minorHAnsi"/>
          <w:b/>
          <w:sz w:val="28"/>
          <w:szCs w:val="28"/>
        </w:rPr>
      </w:pPr>
      <w:r w:rsidRPr="00036E88">
        <w:rPr>
          <w:rFonts w:asciiTheme="minorHAnsi" w:hAnsiTheme="minorHAnsi"/>
          <w:b/>
          <w:sz w:val="28"/>
          <w:szCs w:val="28"/>
        </w:rPr>
        <w:t xml:space="preserve">International Energy Agency </w:t>
      </w:r>
      <w:r>
        <w:rPr>
          <w:rFonts w:asciiTheme="minorHAnsi" w:hAnsiTheme="minorHAnsi"/>
          <w:b/>
          <w:sz w:val="28"/>
          <w:szCs w:val="28"/>
        </w:rPr>
        <w:t xml:space="preserve"> </w:t>
      </w:r>
    </w:p>
    <w:p w:rsidR="00DB39AF" w:rsidRDefault="00DB39AF" w:rsidP="00B2514F">
      <w:pPr>
        <w:spacing w:after="0" w:line="240" w:lineRule="auto"/>
        <w:jc w:val="center"/>
        <w:rPr>
          <w:rFonts w:asciiTheme="minorHAnsi" w:hAnsiTheme="minorHAnsi"/>
          <w:b/>
          <w:i/>
          <w:sz w:val="28"/>
          <w:szCs w:val="28"/>
        </w:rPr>
      </w:pPr>
    </w:p>
    <w:p w:rsidR="00DB39AF" w:rsidRPr="00806302" w:rsidRDefault="00DB39AF" w:rsidP="00B2514F">
      <w:pPr>
        <w:spacing w:after="0" w:line="240" w:lineRule="auto"/>
        <w:jc w:val="center"/>
        <w:rPr>
          <w:rFonts w:asciiTheme="minorHAnsi" w:hAnsiTheme="minorHAnsi"/>
          <w:b/>
          <w:sz w:val="28"/>
          <w:szCs w:val="28"/>
        </w:rPr>
      </w:pPr>
    </w:p>
    <w:p w:rsidR="00FA1D4C" w:rsidRPr="00B2514F" w:rsidRDefault="00FA1D4C" w:rsidP="00B2514F">
      <w:pPr>
        <w:spacing w:after="0" w:line="240" w:lineRule="auto"/>
        <w:rPr>
          <w:rFonts w:asciiTheme="minorHAnsi" w:hAnsiTheme="minorHAnsi"/>
          <w:b/>
          <w:i/>
          <w:sz w:val="28"/>
          <w:szCs w:val="28"/>
        </w:rPr>
      </w:pPr>
    </w:p>
    <w:p w:rsidR="00B32D89" w:rsidRPr="00B2514F" w:rsidRDefault="003E36AA" w:rsidP="00B2514F">
      <w:pPr>
        <w:spacing w:after="0" w:line="240" w:lineRule="auto"/>
        <w:jc w:val="center"/>
        <w:rPr>
          <w:rFonts w:asciiTheme="minorHAnsi" w:hAnsiTheme="minorHAnsi"/>
          <w:b/>
          <w:i/>
          <w:sz w:val="24"/>
          <w:szCs w:val="24"/>
        </w:rPr>
      </w:pPr>
      <w:r w:rsidRPr="00B2514F">
        <w:rPr>
          <w:rFonts w:asciiTheme="minorHAnsi" w:hAnsiTheme="minorHAnsi"/>
          <w:b/>
          <w:i/>
          <w:sz w:val="24"/>
          <w:szCs w:val="24"/>
        </w:rPr>
        <w:t>Algiers, 26-28 September</w:t>
      </w:r>
      <w:r w:rsidR="00B32D89" w:rsidRPr="00B2514F">
        <w:rPr>
          <w:rFonts w:asciiTheme="minorHAnsi" w:hAnsiTheme="minorHAnsi"/>
          <w:b/>
          <w:i/>
          <w:sz w:val="24"/>
          <w:szCs w:val="24"/>
        </w:rPr>
        <w:t xml:space="preserve"> 2016</w:t>
      </w:r>
    </w:p>
    <w:p w:rsidR="00FA1D4C" w:rsidRPr="00B2514F" w:rsidRDefault="00FA1D4C" w:rsidP="00B2514F">
      <w:pPr>
        <w:spacing w:after="0" w:line="240" w:lineRule="auto"/>
        <w:jc w:val="center"/>
        <w:rPr>
          <w:rFonts w:asciiTheme="minorHAnsi" w:hAnsiTheme="minorHAnsi"/>
          <w:sz w:val="20"/>
          <w:szCs w:val="20"/>
        </w:rPr>
      </w:pPr>
    </w:p>
    <w:p w:rsidR="00FA1D4C" w:rsidRPr="00B2514F" w:rsidRDefault="00FA1D4C" w:rsidP="00B2514F">
      <w:pPr>
        <w:spacing w:after="0" w:line="240" w:lineRule="auto"/>
        <w:jc w:val="center"/>
        <w:rPr>
          <w:rFonts w:asciiTheme="minorHAnsi" w:hAnsiTheme="minorHAnsi"/>
          <w:sz w:val="20"/>
          <w:szCs w:val="20"/>
        </w:rPr>
      </w:pPr>
    </w:p>
    <w:p w:rsidR="00FA1D4C" w:rsidRPr="00B2514F" w:rsidRDefault="00FA1D4C" w:rsidP="00B2514F">
      <w:pPr>
        <w:spacing w:after="0" w:line="240" w:lineRule="auto"/>
        <w:jc w:val="both"/>
        <w:rPr>
          <w:rFonts w:asciiTheme="minorHAnsi" w:hAnsiTheme="minorHAnsi"/>
          <w:sz w:val="20"/>
          <w:szCs w:val="20"/>
        </w:rPr>
      </w:pPr>
    </w:p>
    <w:p w:rsidR="00FA1D4C" w:rsidRDefault="00FA1D4C" w:rsidP="00B2514F">
      <w:pPr>
        <w:spacing w:after="0" w:line="240" w:lineRule="auto"/>
        <w:jc w:val="both"/>
        <w:rPr>
          <w:rFonts w:ascii="Trebuchet MS" w:hAnsi="Trebuchet MS"/>
          <w:sz w:val="20"/>
          <w:szCs w:val="20"/>
        </w:rPr>
      </w:pPr>
    </w:p>
    <w:p w:rsidR="00FA1D4C" w:rsidRDefault="00FA1D4C" w:rsidP="00B2514F">
      <w:pPr>
        <w:spacing w:after="0" w:line="240" w:lineRule="auto"/>
        <w:jc w:val="both"/>
        <w:rPr>
          <w:rFonts w:ascii="Trebuchet MS" w:hAnsi="Trebuchet MS"/>
          <w:sz w:val="20"/>
          <w:szCs w:val="20"/>
        </w:rPr>
      </w:pPr>
    </w:p>
    <w:p w:rsidR="00FA1D4C" w:rsidRDefault="00FA1D4C" w:rsidP="00B2514F">
      <w:pPr>
        <w:spacing w:after="0" w:line="240" w:lineRule="auto"/>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FA1D4C" w:rsidRDefault="00FA1D4C" w:rsidP="00E16143">
      <w:pPr>
        <w:spacing w:after="0" w:line="230" w:lineRule="exact"/>
        <w:jc w:val="both"/>
        <w:rPr>
          <w:rFonts w:ascii="Trebuchet MS" w:hAnsi="Trebuchet MS"/>
          <w:sz w:val="20"/>
          <w:szCs w:val="20"/>
        </w:rPr>
      </w:pPr>
    </w:p>
    <w:p w:rsidR="003E36AA" w:rsidRDefault="003E36AA" w:rsidP="00E16143">
      <w:pPr>
        <w:spacing w:after="0" w:line="240" w:lineRule="auto"/>
        <w:jc w:val="both"/>
        <w:rPr>
          <w:rFonts w:ascii="Trebuchet MS" w:hAnsi="Trebuchet MS"/>
          <w:b/>
          <w:sz w:val="24"/>
          <w:szCs w:val="24"/>
        </w:rPr>
      </w:pPr>
    </w:p>
    <w:p w:rsidR="007F2606" w:rsidRDefault="007F2606">
      <w:pPr>
        <w:spacing w:after="0" w:line="240" w:lineRule="auto"/>
        <w:rPr>
          <w:rFonts w:ascii="Trebuchet MS" w:hAnsi="Trebuchet MS"/>
          <w:b/>
          <w:sz w:val="24"/>
          <w:szCs w:val="24"/>
        </w:rPr>
      </w:pPr>
      <w:r>
        <w:rPr>
          <w:rFonts w:ascii="Trebuchet MS" w:hAnsi="Trebuchet MS"/>
          <w:b/>
          <w:sz w:val="24"/>
          <w:szCs w:val="24"/>
        </w:rPr>
        <w:br w:type="page"/>
      </w:r>
    </w:p>
    <w:p w:rsidR="00B2514F" w:rsidRPr="00B2514F" w:rsidRDefault="00B2514F" w:rsidP="009B2ACA">
      <w:pPr>
        <w:tabs>
          <w:tab w:val="left" w:pos="9356"/>
        </w:tabs>
        <w:spacing w:after="0" w:line="240" w:lineRule="auto"/>
        <w:ind w:right="566"/>
        <w:jc w:val="both"/>
        <w:rPr>
          <w:rFonts w:asciiTheme="minorHAnsi" w:hAnsiTheme="minorHAnsi"/>
          <w:i/>
        </w:rPr>
      </w:pPr>
      <w:r>
        <w:rPr>
          <w:rFonts w:asciiTheme="minorHAnsi" w:hAnsiTheme="minorHAnsi"/>
          <w:i/>
        </w:rPr>
        <w:lastRenderedPageBreak/>
        <w:t>T</w:t>
      </w:r>
      <w:r w:rsidR="00A850E3" w:rsidRPr="00B2514F">
        <w:rPr>
          <w:rFonts w:asciiTheme="minorHAnsi" w:hAnsiTheme="minorHAnsi"/>
          <w:i/>
        </w:rPr>
        <w:t xml:space="preserve">he </w:t>
      </w:r>
      <w:r>
        <w:rPr>
          <w:rFonts w:asciiTheme="minorHAnsi" w:hAnsiTheme="minorHAnsi"/>
          <w:i/>
        </w:rPr>
        <w:t xml:space="preserve">International Energy Agency </w:t>
      </w:r>
      <w:r w:rsidR="00A850E3" w:rsidRPr="00B2514F">
        <w:rPr>
          <w:rFonts w:asciiTheme="minorHAnsi" w:hAnsiTheme="minorHAnsi"/>
          <w:i/>
        </w:rPr>
        <w:t>submit</w:t>
      </w:r>
      <w:r>
        <w:rPr>
          <w:rFonts w:asciiTheme="minorHAnsi" w:hAnsiTheme="minorHAnsi"/>
          <w:i/>
        </w:rPr>
        <w:t>s</w:t>
      </w:r>
      <w:r w:rsidR="00A850E3" w:rsidRPr="00B2514F">
        <w:rPr>
          <w:rFonts w:asciiTheme="minorHAnsi" w:hAnsiTheme="minorHAnsi"/>
          <w:i/>
        </w:rPr>
        <w:t xml:space="preserve"> its views on global energy trends to 2040, which were last reviewed in its </w:t>
      </w:r>
      <w:r w:rsidR="00A850E3" w:rsidRPr="00B2514F">
        <w:rPr>
          <w:rFonts w:asciiTheme="minorHAnsi" w:hAnsiTheme="minorHAnsi"/>
          <w:b/>
        </w:rPr>
        <w:t>World Energy Outlook 2015</w:t>
      </w:r>
      <w:r w:rsidR="00A850E3" w:rsidRPr="00B2514F">
        <w:rPr>
          <w:rFonts w:asciiTheme="minorHAnsi" w:hAnsiTheme="minorHAnsi"/>
          <w:i/>
        </w:rPr>
        <w:t xml:space="preserve">. </w:t>
      </w:r>
      <w:r w:rsidR="00215C9F">
        <w:rPr>
          <w:rFonts w:asciiTheme="minorHAnsi" w:hAnsiTheme="minorHAnsi"/>
          <w:i/>
        </w:rPr>
        <w:t>T</w:t>
      </w:r>
      <w:r w:rsidR="00215C9F" w:rsidRPr="00B2514F">
        <w:rPr>
          <w:rFonts w:asciiTheme="minorHAnsi" w:hAnsiTheme="minorHAnsi"/>
          <w:i/>
        </w:rPr>
        <w:t xml:space="preserve">his </w:t>
      </w:r>
      <w:r w:rsidR="0065794D" w:rsidRPr="00B2514F">
        <w:rPr>
          <w:rFonts w:asciiTheme="minorHAnsi" w:hAnsiTheme="minorHAnsi"/>
          <w:i/>
        </w:rPr>
        <w:t>outlook considers three scena</w:t>
      </w:r>
      <w:r w:rsidR="008A4D88" w:rsidRPr="00B2514F">
        <w:rPr>
          <w:rFonts w:asciiTheme="minorHAnsi" w:hAnsiTheme="minorHAnsi"/>
          <w:i/>
        </w:rPr>
        <w:t xml:space="preserve">rios: a </w:t>
      </w:r>
      <w:r w:rsidR="0065794D" w:rsidRPr="00B2514F">
        <w:rPr>
          <w:rFonts w:asciiTheme="minorHAnsi" w:hAnsiTheme="minorHAnsi"/>
          <w:b/>
          <w:i/>
        </w:rPr>
        <w:t>New Policies Scenario</w:t>
      </w:r>
      <w:r w:rsidR="0065794D" w:rsidRPr="00B2514F">
        <w:rPr>
          <w:rFonts w:asciiTheme="minorHAnsi" w:hAnsiTheme="minorHAnsi"/>
          <w:i/>
        </w:rPr>
        <w:t xml:space="preserve">, </w:t>
      </w:r>
      <w:r w:rsidR="008A4D88" w:rsidRPr="00B2514F">
        <w:rPr>
          <w:rFonts w:asciiTheme="minorHAnsi" w:hAnsiTheme="minorHAnsi"/>
          <w:i/>
        </w:rPr>
        <w:t xml:space="preserve">which takes into account </w:t>
      </w:r>
      <w:r w:rsidR="001E7088">
        <w:rPr>
          <w:rFonts w:asciiTheme="minorHAnsi" w:hAnsiTheme="minorHAnsi"/>
          <w:i/>
        </w:rPr>
        <w:t xml:space="preserve">the </w:t>
      </w:r>
      <w:r w:rsidR="008A4D88" w:rsidRPr="00B2514F">
        <w:rPr>
          <w:rFonts w:asciiTheme="minorHAnsi" w:hAnsiTheme="minorHAnsi"/>
          <w:i/>
        </w:rPr>
        <w:t xml:space="preserve">policies, implementing measures and pledges affecting markets adopted as of mid-2015; a </w:t>
      </w:r>
      <w:r w:rsidR="00215C9F" w:rsidRPr="00B2514F">
        <w:rPr>
          <w:rFonts w:asciiTheme="minorHAnsi" w:hAnsiTheme="minorHAnsi"/>
          <w:b/>
          <w:i/>
        </w:rPr>
        <w:t>Current Policies Scenario</w:t>
      </w:r>
      <w:r w:rsidR="008A4D88" w:rsidRPr="00B2514F">
        <w:rPr>
          <w:rFonts w:asciiTheme="minorHAnsi" w:hAnsiTheme="minorHAnsi"/>
          <w:i/>
        </w:rPr>
        <w:t xml:space="preserve">, which takes into account only policies enacted by mid-2015; and </w:t>
      </w:r>
      <w:r w:rsidR="008A4D88">
        <w:rPr>
          <w:rFonts w:asciiTheme="minorHAnsi" w:hAnsiTheme="minorHAnsi"/>
          <w:i/>
        </w:rPr>
        <w:t xml:space="preserve">a </w:t>
      </w:r>
      <w:r w:rsidR="008A4D88" w:rsidRPr="00B2514F">
        <w:rPr>
          <w:rFonts w:asciiTheme="minorHAnsi" w:hAnsiTheme="minorHAnsi"/>
          <w:b/>
          <w:i/>
        </w:rPr>
        <w:t>450 Scenario</w:t>
      </w:r>
      <w:r w:rsidR="008A4D88">
        <w:rPr>
          <w:rFonts w:asciiTheme="minorHAnsi" w:hAnsiTheme="minorHAnsi"/>
          <w:i/>
        </w:rPr>
        <w:t>, which depicts a pathway to the 2</w:t>
      </w:r>
      <w:r w:rsidR="001E7088">
        <w:rPr>
          <w:rFonts w:ascii="Arial" w:hAnsi="Arial" w:cs="Arial"/>
          <w:color w:val="222222"/>
          <w:shd w:val="clear" w:color="auto" w:fill="FFFFFF"/>
        </w:rPr>
        <w:t>°</w:t>
      </w:r>
      <w:r w:rsidR="008A4D88">
        <w:rPr>
          <w:rFonts w:asciiTheme="minorHAnsi" w:hAnsiTheme="minorHAnsi"/>
          <w:i/>
        </w:rPr>
        <w:t>C climate goal</w:t>
      </w:r>
      <w:r w:rsidR="00215C9F">
        <w:rPr>
          <w:rFonts w:asciiTheme="minorHAnsi" w:hAnsiTheme="minorHAnsi"/>
          <w:i/>
        </w:rPr>
        <w:t xml:space="preserve"> achieved with technologies that are close to being available at commercial scale.</w:t>
      </w:r>
      <w:r>
        <w:rPr>
          <w:rFonts w:asciiTheme="minorHAnsi" w:hAnsiTheme="minorHAnsi"/>
          <w:i/>
        </w:rPr>
        <w:t xml:space="preserve"> </w:t>
      </w:r>
      <w:r w:rsidRPr="00B2514F">
        <w:rPr>
          <w:rFonts w:asciiTheme="minorHAnsi" w:hAnsiTheme="minorHAnsi"/>
          <w:i/>
        </w:rPr>
        <w:t>The next edition of the flagship publication will be available in November 2016.</w:t>
      </w:r>
      <w:r w:rsidR="000456B2">
        <w:rPr>
          <w:rFonts w:asciiTheme="minorHAnsi" w:hAnsiTheme="minorHAnsi"/>
          <w:i/>
        </w:rPr>
        <w:t xml:space="preserve"> This paper also includes the latest findings from the </w:t>
      </w:r>
      <w:r w:rsidR="000456B2" w:rsidRPr="000456B2">
        <w:rPr>
          <w:rFonts w:asciiTheme="minorHAnsi" w:hAnsiTheme="minorHAnsi"/>
          <w:b/>
        </w:rPr>
        <w:t>World Energy Investment 2016</w:t>
      </w:r>
      <w:r w:rsidR="001E7088">
        <w:rPr>
          <w:rFonts w:asciiTheme="minorHAnsi" w:hAnsiTheme="minorHAnsi"/>
          <w:b/>
        </w:rPr>
        <w:t xml:space="preserve"> </w:t>
      </w:r>
      <w:r w:rsidR="001E7088" w:rsidRPr="00A0642B">
        <w:rPr>
          <w:rFonts w:asciiTheme="minorHAnsi" w:hAnsiTheme="minorHAnsi"/>
          <w:i/>
        </w:rPr>
        <w:t>report</w:t>
      </w:r>
      <w:r w:rsidR="000456B2">
        <w:rPr>
          <w:rFonts w:asciiTheme="minorHAnsi" w:hAnsiTheme="minorHAnsi"/>
          <w:i/>
        </w:rPr>
        <w:t>, which provides a comprehensive picture of global energy spending.</w:t>
      </w:r>
    </w:p>
    <w:p w:rsidR="00B2514F" w:rsidRDefault="00B2514F" w:rsidP="009B2ACA">
      <w:pPr>
        <w:tabs>
          <w:tab w:val="left" w:pos="9356"/>
        </w:tabs>
        <w:spacing w:after="0" w:line="240" w:lineRule="auto"/>
        <w:ind w:right="566"/>
        <w:jc w:val="both"/>
        <w:rPr>
          <w:rFonts w:asciiTheme="minorHAnsi" w:hAnsiTheme="minorHAnsi"/>
          <w:i/>
          <w:sz w:val="24"/>
          <w:szCs w:val="24"/>
        </w:rPr>
      </w:pPr>
    </w:p>
    <w:p w:rsidR="00B2514F" w:rsidRDefault="00B2514F" w:rsidP="009B2ACA">
      <w:pPr>
        <w:tabs>
          <w:tab w:val="left" w:pos="9356"/>
        </w:tabs>
        <w:spacing w:after="0" w:line="240" w:lineRule="auto"/>
        <w:ind w:right="566"/>
        <w:jc w:val="both"/>
        <w:rPr>
          <w:rFonts w:asciiTheme="minorHAnsi" w:hAnsiTheme="minorHAnsi"/>
          <w:i/>
          <w:sz w:val="24"/>
          <w:szCs w:val="24"/>
        </w:rPr>
      </w:pPr>
    </w:p>
    <w:p w:rsidR="00B2514F" w:rsidRPr="00B2514F" w:rsidRDefault="00B2514F" w:rsidP="009B2ACA">
      <w:pPr>
        <w:tabs>
          <w:tab w:val="left" w:pos="9356"/>
        </w:tabs>
        <w:spacing w:after="0" w:line="240" w:lineRule="auto"/>
        <w:ind w:right="566"/>
        <w:jc w:val="both"/>
        <w:rPr>
          <w:rFonts w:asciiTheme="minorHAnsi" w:hAnsiTheme="minorHAnsi"/>
          <w:i/>
          <w:sz w:val="24"/>
          <w:szCs w:val="24"/>
        </w:rPr>
      </w:pPr>
    </w:p>
    <w:p w:rsidR="00B2514F" w:rsidRPr="00B2514F" w:rsidRDefault="00B2514F" w:rsidP="00A0642B">
      <w:pPr>
        <w:tabs>
          <w:tab w:val="left" w:pos="9356"/>
        </w:tabs>
        <w:spacing w:after="0" w:line="240" w:lineRule="auto"/>
        <w:ind w:right="566"/>
        <w:rPr>
          <w:rFonts w:asciiTheme="minorHAnsi" w:hAnsiTheme="minorHAnsi"/>
          <w:b/>
          <w:sz w:val="24"/>
          <w:szCs w:val="24"/>
          <w:u w:val="single"/>
        </w:rPr>
      </w:pPr>
      <w:r w:rsidRPr="00B2514F">
        <w:rPr>
          <w:rFonts w:asciiTheme="minorHAnsi" w:hAnsiTheme="minorHAnsi"/>
          <w:b/>
          <w:sz w:val="24"/>
          <w:szCs w:val="24"/>
          <w:u w:val="single"/>
        </w:rPr>
        <w:t>Global Energy Trends to 2040</w:t>
      </w:r>
    </w:p>
    <w:p w:rsidR="00AB2FEE" w:rsidRDefault="00AB2FEE" w:rsidP="003C338F">
      <w:pPr>
        <w:tabs>
          <w:tab w:val="left" w:pos="9356"/>
        </w:tabs>
        <w:spacing w:after="0" w:line="240" w:lineRule="auto"/>
        <w:ind w:right="566"/>
        <w:jc w:val="both"/>
        <w:rPr>
          <w:rFonts w:asciiTheme="minorHAnsi" w:hAnsiTheme="minorHAnsi"/>
          <w:b/>
          <w:sz w:val="24"/>
          <w:szCs w:val="24"/>
        </w:rPr>
      </w:pPr>
    </w:p>
    <w:p w:rsidR="00A850E3" w:rsidRPr="00AB2FEE" w:rsidRDefault="00AB2FEE" w:rsidP="00B2514F">
      <w:pPr>
        <w:tabs>
          <w:tab w:val="left" w:pos="9356"/>
        </w:tabs>
        <w:spacing w:after="0" w:line="240" w:lineRule="auto"/>
        <w:ind w:right="566"/>
        <w:jc w:val="both"/>
        <w:rPr>
          <w:rFonts w:asciiTheme="minorHAnsi" w:hAnsiTheme="minorHAnsi"/>
          <w:b/>
          <w:sz w:val="24"/>
          <w:szCs w:val="24"/>
        </w:rPr>
      </w:pPr>
      <w:r>
        <w:t>Government</w:t>
      </w:r>
      <w:r w:rsidR="00A850E3">
        <w:t xml:space="preserve"> policies continue to play a powerful role in determining the evolution of the energy sector. World energy demand grows in all World Energy Outlook </w:t>
      </w:r>
      <w:r w:rsidR="005B2AF8">
        <w:t xml:space="preserve">2015 </w:t>
      </w:r>
      <w:r w:rsidR="00A850E3">
        <w:t xml:space="preserve">(WEO) scenarios, </w:t>
      </w:r>
      <w:r w:rsidR="00215C9F" w:rsidRPr="00215C9F">
        <w:t xml:space="preserve">but government policies play a powerful role in dictating the degree of growth and the degree to which </w:t>
      </w:r>
      <w:r w:rsidR="001E7088">
        <w:t xml:space="preserve">greenhouse gas </w:t>
      </w:r>
      <w:r w:rsidR="00215C9F" w:rsidRPr="00215C9F">
        <w:t>emissions decouple from energy use.</w:t>
      </w:r>
    </w:p>
    <w:p w:rsidR="00A850E3" w:rsidRDefault="00A850E3" w:rsidP="009B2ACA">
      <w:pPr>
        <w:tabs>
          <w:tab w:val="left" w:pos="9356"/>
        </w:tabs>
        <w:spacing w:after="0" w:line="240" w:lineRule="auto"/>
        <w:ind w:right="566"/>
        <w:jc w:val="both"/>
      </w:pPr>
    </w:p>
    <w:p w:rsidR="002C4E8D" w:rsidRDefault="002C4E8D" w:rsidP="002C4E8D">
      <w:pPr>
        <w:tabs>
          <w:tab w:val="left" w:pos="9356"/>
        </w:tabs>
        <w:spacing w:after="0" w:line="240" w:lineRule="auto"/>
        <w:ind w:right="566"/>
        <w:jc w:val="both"/>
      </w:pPr>
      <w:r>
        <w:t xml:space="preserve">Between 1990 and 2013, </w:t>
      </w:r>
      <w:r w:rsidR="001E7088">
        <w:t xml:space="preserve">the world’s </w:t>
      </w:r>
      <w:r>
        <w:t xml:space="preserve">primary energy </w:t>
      </w:r>
      <w:r w:rsidR="005B2AF8">
        <w:t xml:space="preserve">demand </w:t>
      </w:r>
      <w:r>
        <w:t>increased by 55% to 13 560 million tonnes of oil equivalent (</w:t>
      </w:r>
      <w:proofErr w:type="spellStart"/>
      <w:r>
        <w:t>Mtoe</w:t>
      </w:r>
      <w:proofErr w:type="spellEnd"/>
      <w:r>
        <w:t>)</w:t>
      </w:r>
      <w:r w:rsidR="001E7088">
        <w:t>,</w:t>
      </w:r>
      <w:r>
        <w:t xml:space="preserve"> and it is projected to grow by a further 45% to 2040 in the Current Policies Scenario, 32% in the New Policies Scenario and 12% in the 450 Scenario</w:t>
      </w:r>
      <w:r w:rsidR="005B2AF8">
        <w:t>, according to the projections of WEO 2015</w:t>
      </w:r>
      <w:r>
        <w:t>.</w:t>
      </w:r>
    </w:p>
    <w:p w:rsidR="00AB2FEE" w:rsidRDefault="00AB2FEE" w:rsidP="002C4E8D">
      <w:pPr>
        <w:tabs>
          <w:tab w:val="left" w:pos="9356"/>
        </w:tabs>
        <w:spacing w:after="0" w:line="240" w:lineRule="auto"/>
        <w:ind w:right="566"/>
        <w:jc w:val="both"/>
      </w:pPr>
    </w:p>
    <w:p w:rsidR="000456B2" w:rsidRDefault="00AB2FEE" w:rsidP="002C4E8D">
      <w:pPr>
        <w:tabs>
          <w:tab w:val="left" w:pos="9356"/>
        </w:tabs>
        <w:spacing w:after="0" w:line="240" w:lineRule="auto"/>
        <w:ind w:right="566"/>
        <w:jc w:val="both"/>
      </w:pPr>
      <w:r>
        <w:t>In the New Policies Scenario, demand for all fossil fuels increases, but growth in coal demand stays at low levels, and natural gas use nearly reaches the level of coal by 2040. In the 450 Scenario, the consumption of fossil fuels is still far from trivial but, utilising only commercial and near-commercial technologies, global demand for both coal and oil reaches its peak by 2020 and then moves into a clear decline, while the use of natural gas levels</w:t>
      </w:r>
      <w:r w:rsidR="00F47132">
        <w:t xml:space="preserve"> </w:t>
      </w:r>
      <w:proofErr w:type="spellStart"/>
      <w:r>
        <w:t>off</w:t>
      </w:r>
      <w:proofErr w:type="spellEnd"/>
      <w:r>
        <w:t xml:space="preserve"> around 2030.</w:t>
      </w:r>
    </w:p>
    <w:p w:rsidR="00A0138E" w:rsidRDefault="00A0138E" w:rsidP="002C4E8D">
      <w:pPr>
        <w:tabs>
          <w:tab w:val="left" w:pos="9356"/>
        </w:tabs>
        <w:spacing w:after="0" w:line="240" w:lineRule="auto"/>
        <w:ind w:right="566"/>
        <w:jc w:val="both"/>
      </w:pPr>
    </w:p>
    <w:p w:rsidR="000456B2" w:rsidRDefault="000456B2" w:rsidP="002C4E8D">
      <w:pPr>
        <w:tabs>
          <w:tab w:val="left" w:pos="9356"/>
        </w:tabs>
        <w:spacing w:after="0" w:line="240" w:lineRule="auto"/>
        <w:ind w:right="566"/>
        <w:jc w:val="both"/>
      </w:pPr>
      <w:r>
        <w:t>Despite efforts to decarbonise the world’s energy system, the share of fossil fuels in the global energy mix has</w:t>
      </w:r>
      <w:r w:rsidR="00F47132">
        <w:t xml:space="preserve"> hardly</w:t>
      </w:r>
      <w:r>
        <w:t xml:space="preserve"> changed over the last thirty years (81% in 2013), while coal (the most carbon-intensive fossil fuel) has attained, in 2013, its highest share of the energy mix for at least 40 years. </w:t>
      </w:r>
    </w:p>
    <w:p w:rsidR="000456B2" w:rsidRDefault="000456B2" w:rsidP="002C4E8D">
      <w:pPr>
        <w:tabs>
          <w:tab w:val="left" w:pos="9356"/>
        </w:tabs>
        <w:spacing w:after="0" w:line="240" w:lineRule="auto"/>
        <w:ind w:right="566"/>
        <w:jc w:val="both"/>
      </w:pPr>
    </w:p>
    <w:p w:rsidR="000456B2" w:rsidRDefault="000456B2" w:rsidP="002C4E8D">
      <w:pPr>
        <w:tabs>
          <w:tab w:val="left" w:pos="9356"/>
        </w:tabs>
        <w:spacing w:after="0" w:line="240" w:lineRule="auto"/>
        <w:ind w:right="566"/>
        <w:jc w:val="both"/>
      </w:pPr>
      <w:r>
        <w:t>In all</w:t>
      </w:r>
      <w:r w:rsidR="005B2AF8">
        <w:t xml:space="preserve"> WEO 2015</w:t>
      </w:r>
      <w:r>
        <w:t xml:space="preserve"> scenarios, fossil fuels remain the dominant source of energy supply to 2040, but their share of the energy mix falls, just slightly in the Current Policies Scenario but much more rapidly in the 450 Scenario. In the Current Policies Scenario, demand for coal overtakes oil around 2030 to make coal the largest component of the energy mix, while it is natural gas which experiences the highest growth in demand (in absolute terms) through to 2040.</w:t>
      </w:r>
    </w:p>
    <w:p w:rsidR="000456B2" w:rsidRDefault="000456B2" w:rsidP="002C4E8D">
      <w:pPr>
        <w:tabs>
          <w:tab w:val="left" w:pos="9356"/>
        </w:tabs>
        <w:spacing w:after="0" w:line="240" w:lineRule="auto"/>
        <w:ind w:right="566"/>
        <w:jc w:val="both"/>
      </w:pPr>
    </w:p>
    <w:p w:rsidR="00AB2FEE" w:rsidRDefault="00AB2FEE" w:rsidP="002C4E8D">
      <w:pPr>
        <w:tabs>
          <w:tab w:val="left" w:pos="9356"/>
        </w:tabs>
        <w:spacing w:after="0" w:line="240" w:lineRule="auto"/>
        <w:ind w:right="566"/>
        <w:jc w:val="both"/>
      </w:pPr>
      <w:r>
        <w:t xml:space="preserve">The outlook for all forms of low-carbon energy (renewables, nuclear power and carbon capture and storage [CCS]) is </w:t>
      </w:r>
      <w:r w:rsidR="000456B2">
        <w:t>more positive in the 450 Scenario and they collectively meet 46% of primary energy demand by 2040.</w:t>
      </w:r>
    </w:p>
    <w:p w:rsidR="002C4E8D" w:rsidRDefault="002C4E8D" w:rsidP="002C4E8D">
      <w:pPr>
        <w:tabs>
          <w:tab w:val="left" w:pos="9356"/>
        </w:tabs>
        <w:spacing w:after="0" w:line="240" w:lineRule="auto"/>
        <w:ind w:right="566"/>
        <w:rPr>
          <w:rFonts w:asciiTheme="minorHAnsi" w:hAnsiTheme="minorHAnsi"/>
          <w:b/>
        </w:rPr>
      </w:pPr>
    </w:p>
    <w:p w:rsidR="00A0138E" w:rsidRDefault="00A0138E" w:rsidP="002C4E8D">
      <w:pPr>
        <w:tabs>
          <w:tab w:val="left" w:pos="9356"/>
        </w:tabs>
        <w:spacing w:after="0" w:line="240" w:lineRule="auto"/>
        <w:ind w:right="566"/>
        <w:rPr>
          <w:rFonts w:asciiTheme="minorHAnsi" w:hAnsiTheme="minorHAnsi"/>
          <w:b/>
        </w:rPr>
      </w:pPr>
    </w:p>
    <w:p w:rsidR="00AB2FEE" w:rsidRPr="00395AF5" w:rsidRDefault="00AB2FEE" w:rsidP="002C4E8D">
      <w:pPr>
        <w:tabs>
          <w:tab w:val="left" w:pos="9356"/>
        </w:tabs>
        <w:spacing w:after="0" w:line="240" w:lineRule="auto"/>
        <w:ind w:right="566"/>
        <w:rPr>
          <w:rFonts w:asciiTheme="minorHAnsi" w:hAnsiTheme="minorHAnsi"/>
          <w:b/>
        </w:rPr>
      </w:pPr>
    </w:p>
    <w:p w:rsidR="00095BCC" w:rsidRDefault="002C4E8D" w:rsidP="00AB2FEE">
      <w:pPr>
        <w:tabs>
          <w:tab w:val="left" w:pos="9356"/>
        </w:tabs>
        <w:spacing w:after="0" w:line="240" w:lineRule="auto"/>
        <w:ind w:right="566"/>
        <w:jc w:val="center"/>
        <w:rPr>
          <w:b/>
          <w:sz w:val="20"/>
          <w:szCs w:val="20"/>
        </w:rPr>
      </w:pPr>
      <w:r w:rsidRPr="00BC3579">
        <w:rPr>
          <w:b/>
          <w:sz w:val="20"/>
          <w:szCs w:val="20"/>
        </w:rPr>
        <w:lastRenderedPageBreak/>
        <w:t>Figure 1: World primary energy demand and CO2 emissions by scenario</w:t>
      </w:r>
    </w:p>
    <w:p w:rsidR="00AB2FEE" w:rsidRPr="00AB2FEE" w:rsidRDefault="00AB2FEE" w:rsidP="00AB2FEE">
      <w:pPr>
        <w:tabs>
          <w:tab w:val="left" w:pos="9356"/>
        </w:tabs>
        <w:spacing w:after="0" w:line="240" w:lineRule="auto"/>
        <w:ind w:right="566"/>
        <w:jc w:val="center"/>
        <w:rPr>
          <w:b/>
          <w:sz w:val="20"/>
          <w:szCs w:val="20"/>
        </w:rPr>
      </w:pPr>
    </w:p>
    <w:p w:rsidR="003100C9" w:rsidRDefault="003100C9" w:rsidP="003100C9">
      <w:pPr>
        <w:spacing w:after="0" w:line="240" w:lineRule="auto"/>
        <w:rPr>
          <w:rFonts w:asciiTheme="minorHAnsi" w:hAnsiTheme="minorHAnsi"/>
          <w:b/>
          <w:sz w:val="20"/>
          <w:szCs w:val="20"/>
        </w:rPr>
      </w:pPr>
    </w:p>
    <w:p w:rsidR="003100C9" w:rsidRDefault="002C4E8D" w:rsidP="003100C9">
      <w:pPr>
        <w:spacing w:after="0" w:line="240" w:lineRule="auto"/>
        <w:rPr>
          <w:rFonts w:asciiTheme="minorHAnsi" w:hAnsiTheme="minorHAnsi"/>
          <w:b/>
          <w:sz w:val="20"/>
          <w:szCs w:val="20"/>
        </w:rPr>
      </w:pPr>
      <w:r>
        <w:rPr>
          <w:noProof/>
          <w:lang w:eastAsia="en-GB"/>
        </w:rPr>
        <w:drawing>
          <wp:inline distT="0" distB="0" distL="0" distR="0" wp14:anchorId="571D2928" wp14:editId="14C0D1C1">
            <wp:extent cx="5262245" cy="2475865"/>
            <wp:effectExtent l="0" t="0" r="0" b="635"/>
            <wp:docPr id="2" name="Picture 2" descr="C:\Users\MOUAWAD_J\AppData\Local\Microsoft\Windows\INetCache\Content.Word\WE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OUAWAD_J\AppData\Local\Microsoft\Windows\INetCache\Content.Word\WEO20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245" cy="2475865"/>
                    </a:xfrm>
                    <a:prstGeom prst="rect">
                      <a:avLst/>
                    </a:prstGeom>
                    <a:noFill/>
                    <a:ln>
                      <a:noFill/>
                    </a:ln>
                  </pic:spPr>
                </pic:pic>
              </a:graphicData>
            </a:graphic>
          </wp:inline>
        </w:drawing>
      </w:r>
    </w:p>
    <w:p w:rsidR="002C4E8D" w:rsidRDefault="002C4E8D" w:rsidP="002C4E8D">
      <w:pPr>
        <w:tabs>
          <w:tab w:val="left" w:pos="9356"/>
        </w:tabs>
        <w:spacing w:after="0" w:line="240" w:lineRule="auto"/>
        <w:ind w:right="566"/>
        <w:jc w:val="both"/>
      </w:pPr>
    </w:p>
    <w:p w:rsidR="002C4E8D" w:rsidRPr="00087A32" w:rsidRDefault="002C4E8D" w:rsidP="002C4E8D">
      <w:pPr>
        <w:tabs>
          <w:tab w:val="left" w:pos="9356"/>
        </w:tabs>
        <w:spacing w:after="0" w:line="240" w:lineRule="auto"/>
        <w:ind w:right="566"/>
        <w:jc w:val="both"/>
        <w:rPr>
          <w:b/>
          <w:i/>
          <w:color w:val="548DD4" w:themeColor="text2" w:themeTint="99"/>
          <w:sz w:val="20"/>
          <w:szCs w:val="20"/>
        </w:rPr>
      </w:pPr>
      <w:r w:rsidRPr="00087A32">
        <w:rPr>
          <w:b/>
          <w:i/>
          <w:color w:val="548DD4" w:themeColor="text2" w:themeTint="99"/>
          <w:sz w:val="20"/>
          <w:szCs w:val="20"/>
        </w:rPr>
        <w:t>Source: WEO 2015</w:t>
      </w:r>
    </w:p>
    <w:p w:rsidR="002C4E8D" w:rsidRDefault="002C4E8D" w:rsidP="002C4E8D">
      <w:pPr>
        <w:tabs>
          <w:tab w:val="left" w:pos="9356"/>
        </w:tabs>
        <w:spacing w:after="0" w:line="240" w:lineRule="auto"/>
        <w:ind w:right="566"/>
        <w:jc w:val="both"/>
      </w:pPr>
    </w:p>
    <w:p w:rsidR="000456B2" w:rsidRDefault="000456B2" w:rsidP="003100C9">
      <w:pPr>
        <w:spacing w:after="0" w:line="240" w:lineRule="auto"/>
        <w:rPr>
          <w:rFonts w:asciiTheme="minorHAnsi" w:hAnsiTheme="minorHAnsi"/>
          <w:b/>
          <w:sz w:val="20"/>
          <w:szCs w:val="20"/>
        </w:rPr>
      </w:pPr>
    </w:p>
    <w:p w:rsidR="00A0138E" w:rsidRDefault="00A0138E" w:rsidP="003100C9">
      <w:pPr>
        <w:spacing w:after="0" w:line="240" w:lineRule="auto"/>
        <w:rPr>
          <w:rFonts w:asciiTheme="minorHAnsi" w:hAnsiTheme="minorHAnsi"/>
          <w:b/>
          <w:sz w:val="20"/>
          <w:szCs w:val="20"/>
        </w:rPr>
      </w:pPr>
    </w:p>
    <w:p w:rsidR="0065794D" w:rsidRPr="000456B2" w:rsidRDefault="003100C9" w:rsidP="003100C9">
      <w:pPr>
        <w:spacing w:after="0" w:line="240" w:lineRule="auto"/>
        <w:rPr>
          <w:rFonts w:asciiTheme="minorHAnsi" w:hAnsiTheme="minorHAnsi"/>
          <w:b/>
          <w:sz w:val="20"/>
          <w:szCs w:val="20"/>
        </w:rPr>
      </w:pPr>
      <w:r>
        <w:rPr>
          <w:b/>
          <w:sz w:val="24"/>
          <w:szCs w:val="24"/>
        </w:rPr>
        <w:t>Focus on the New Policies Scenario</w:t>
      </w:r>
    </w:p>
    <w:p w:rsidR="0065794D" w:rsidRDefault="0065794D" w:rsidP="009B2ACA">
      <w:pPr>
        <w:tabs>
          <w:tab w:val="left" w:pos="9356"/>
        </w:tabs>
        <w:spacing w:after="0" w:line="240" w:lineRule="auto"/>
        <w:ind w:right="566"/>
        <w:jc w:val="both"/>
        <w:rPr>
          <w:b/>
        </w:rPr>
      </w:pPr>
    </w:p>
    <w:p w:rsidR="00315966" w:rsidRDefault="00315966" w:rsidP="009B2ACA">
      <w:pPr>
        <w:tabs>
          <w:tab w:val="left" w:pos="9356"/>
        </w:tabs>
        <w:spacing w:after="0" w:line="240" w:lineRule="auto"/>
        <w:ind w:right="566"/>
        <w:jc w:val="both"/>
      </w:pPr>
      <w:r>
        <w:t xml:space="preserve">In the New Policies Scenario, global primary energy demand increases by nearly one-third between 2013 and 2040 to reach 17 900 </w:t>
      </w:r>
      <w:proofErr w:type="spellStart"/>
      <w:r>
        <w:t>Mtoe</w:t>
      </w:r>
      <w:proofErr w:type="spellEnd"/>
      <w:r>
        <w:t xml:space="preserve">. The annual average rate of growth in primary energy demand slows over time: from 2.5% in 2000-2010, it falls to 1.4% in the current decade, 1% in the next and below 1% in the 2030s. </w:t>
      </w:r>
    </w:p>
    <w:p w:rsidR="00315966" w:rsidRDefault="00315966" w:rsidP="009B2ACA">
      <w:pPr>
        <w:tabs>
          <w:tab w:val="left" w:pos="9356"/>
        </w:tabs>
        <w:spacing w:after="0" w:line="240" w:lineRule="auto"/>
        <w:ind w:right="566"/>
        <w:jc w:val="both"/>
      </w:pPr>
    </w:p>
    <w:p w:rsidR="00315966" w:rsidRDefault="00315966" w:rsidP="009B2ACA">
      <w:pPr>
        <w:tabs>
          <w:tab w:val="left" w:pos="9356"/>
        </w:tabs>
        <w:spacing w:after="0" w:line="240" w:lineRule="auto"/>
        <w:ind w:right="566"/>
        <w:jc w:val="both"/>
      </w:pPr>
      <w:r>
        <w:t xml:space="preserve">A deceleration of global economic and population growth, coupled with more robust energy efficiency and other policies all play a role, particularly the slowing of economic expansion in some key economies (such as China). </w:t>
      </w:r>
    </w:p>
    <w:p w:rsidR="00315966" w:rsidRDefault="00315966" w:rsidP="009B2ACA">
      <w:pPr>
        <w:tabs>
          <w:tab w:val="left" w:pos="9356"/>
        </w:tabs>
        <w:spacing w:after="0" w:line="240" w:lineRule="auto"/>
        <w:ind w:right="566"/>
        <w:jc w:val="both"/>
      </w:pPr>
    </w:p>
    <w:p w:rsidR="00BC3579" w:rsidRDefault="00315966" w:rsidP="009B2ACA">
      <w:pPr>
        <w:tabs>
          <w:tab w:val="left" w:pos="9356"/>
        </w:tabs>
        <w:spacing w:after="0" w:line="240" w:lineRule="auto"/>
        <w:ind w:right="566"/>
        <w:jc w:val="both"/>
      </w:pPr>
      <w:r>
        <w:t xml:space="preserve">The link between economic growth and energy demand weakens over time in the New Policies Scenario, reflecting the changing nature of economic development. More markets approach a saturation point in demand for energy services and more energy efficient technologies are adopted, together with policies that allow these services to be provided more effectively. </w:t>
      </w:r>
    </w:p>
    <w:p w:rsidR="00BC3579" w:rsidRDefault="00BC3579" w:rsidP="009B2ACA">
      <w:pPr>
        <w:tabs>
          <w:tab w:val="left" w:pos="9356"/>
        </w:tabs>
        <w:spacing w:after="0" w:line="240" w:lineRule="auto"/>
        <w:ind w:right="566"/>
        <w:jc w:val="both"/>
      </w:pPr>
    </w:p>
    <w:p w:rsidR="0065794D" w:rsidRDefault="00315966" w:rsidP="009B2ACA">
      <w:pPr>
        <w:tabs>
          <w:tab w:val="left" w:pos="9356"/>
        </w:tabs>
        <w:spacing w:after="0" w:line="240" w:lineRule="auto"/>
        <w:ind w:right="566"/>
        <w:jc w:val="both"/>
        <w:rPr>
          <w:b/>
        </w:rPr>
      </w:pPr>
      <w:r>
        <w:t xml:space="preserve">Many economies also continue to undergo structural change, either in the form of a transition towards less energy-intensive forms of economic activity (i.e. services and light industry), such as in China, or </w:t>
      </w:r>
      <w:r w:rsidR="00D86C11">
        <w:t xml:space="preserve">further </w:t>
      </w:r>
      <w:r>
        <w:t>industrialisation, such as in India.</w:t>
      </w:r>
    </w:p>
    <w:p w:rsidR="008A4D88" w:rsidRDefault="008A4D88" w:rsidP="009B2ACA">
      <w:pPr>
        <w:tabs>
          <w:tab w:val="left" w:pos="9356"/>
        </w:tabs>
        <w:spacing w:after="0" w:line="240" w:lineRule="auto"/>
        <w:ind w:right="566"/>
        <w:jc w:val="both"/>
        <w:rPr>
          <w:b/>
        </w:rPr>
      </w:pPr>
    </w:p>
    <w:p w:rsidR="00AB2FEE" w:rsidRDefault="00315966" w:rsidP="00A0642B">
      <w:pPr>
        <w:tabs>
          <w:tab w:val="left" w:pos="9356"/>
        </w:tabs>
        <w:spacing w:after="0" w:line="240" w:lineRule="auto"/>
        <w:ind w:right="566"/>
        <w:jc w:val="both"/>
      </w:pPr>
      <w:r>
        <w:t>The world’s population has doubled in a little over 40 years and is projected to expand by one-quarter to reach nine billion people in 2040</w:t>
      </w:r>
      <w:r w:rsidR="00D86C11">
        <w:t>. B</w:t>
      </w:r>
      <w:r>
        <w:t xml:space="preserve">ut the weight of this growth moves away from the largest global centre of energy demand growth (Asia) and towards regions that currently have very low levels of energy use (led by Africa). </w:t>
      </w:r>
    </w:p>
    <w:p w:rsidR="00B619D7" w:rsidRDefault="00B619D7" w:rsidP="00A0642B">
      <w:pPr>
        <w:tabs>
          <w:tab w:val="left" w:pos="9356"/>
        </w:tabs>
        <w:spacing w:after="0" w:line="240" w:lineRule="auto"/>
        <w:ind w:right="566"/>
        <w:jc w:val="both"/>
      </w:pPr>
    </w:p>
    <w:p w:rsidR="00AB2FEE" w:rsidRDefault="00AB2FEE" w:rsidP="00AB2FEE">
      <w:pPr>
        <w:tabs>
          <w:tab w:val="left" w:pos="9356"/>
        </w:tabs>
        <w:spacing w:after="0" w:line="240" w:lineRule="auto"/>
        <w:ind w:right="566"/>
        <w:jc w:val="both"/>
      </w:pPr>
      <w:r>
        <w:t>The world average of per-capita energy demand remains close to existing levels in the New Policies Scenario, but masks a large disparity across regions</w:t>
      </w:r>
      <w:r w:rsidR="00D86C11">
        <w:t xml:space="preserve">: </w:t>
      </w:r>
      <w:r>
        <w:t xml:space="preserve">low but rising in </w:t>
      </w:r>
      <w:r>
        <w:lastRenderedPageBreak/>
        <w:t xml:space="preserve">much of Asia, Latin America and others; high but declining in Canada, </w:t>
      </w:r>
      <w:r w:rsidR="00D86C11">
        <w:t>the</w:t>
      </w:r>
      <w:r w:rsidR="00B619D7">
        <w:t xml:space="preserve"> </w:t>
      </w:r>
      <w:r>
        <w:t xml:space="preserve">United States etc. </w:t>
      </w:r>
      <w:r w:rsidR="00D86C11">
        <w:t xml:space="preserve">This disparity </w:t>
      </w:r>
      <w:r>
        <w:t>narrows only slowly over time.</w:t>
      </w:r>
    </w:p>
    <w:p w:rsidR="00AB2FEE" w:rsidRDefault="00AB2FEE" w:rsidP="00AB2FEE">
      <w:pPr>
        <w:tabs>
          <w:tab w:val="left" w:pos="9356"/>
        </w:tabs>
        <w:spacing w:after="0" w:line="240" w:lineRule="auto"/>
        <w:ind w:right="566"/>
        <w:jc w:val="both"/>
      </w:pPr>
    </w:p>
    <w:p w:rsidR="00AB2FEE" w:rsidRDefault="00AB2FEE" w:rsidP="00AB2FEE">
      <w:pPr>
        <w:tabs>
          <w:tab w:val="left" w:pos="9356"/>
        </w:tabs>
        <w:spacing w:after="0" w:line="240" w:lineRule="auto"/>
        <w:ind w:right="566"/>
        <w:jc w:val="both"/>
      </w:pPr>
      <w:r>
        <w:t xml:space="preserve">Primary energy demand for all fuels grows through 2040. Of this growth, renewables collectively account for 34%, natural gas for 31%, nuclear for 13%, oil for 12% and coal for 10%. </w:t>
      </w:r>
    </w:p>
    <w:p w:rsidR="00AD21F5" w:rsidRDefault="00AD21F5" w:rsidP="00AB2FEE">
      <w:pPr>
        <w:tabs>
          <w:tab w:val="left" w:pos="9356"/>
        </w:tabs>
        <w:spacing w:after="0" w:line="240" w:lineRule="auto"/>
        <w:ind w:right="566"/>
        <w:jc w:val="both"/>
      </w:pPr>
    </w:p>
    <w:p w:rsidR="00AB2FEE" w:rsidRDefault="00AD21F5" w:rsidP="00AB2FEE">
      <w:pPr>
        <w:tabs>
          <w:tab w:val="left" w:pos="9356"/>
        </w:tabs>
        <w:spacing w:after="0" w:line="240" w:lineRule="auto"/>
        <w:ind w:right="566"/>
        <w:jc w:val="both"/>
      </w:pPr>
      <w:r>
        <w:t>Renewables increase significantly, but their growth only just outpaces that of total energy demand, meaning that their share of the energy mix changes little. Similarly, nuclear sees little change</w:t>
      </w:r>
      <w:r w:rsidR="00B619D7">
        <w:t>.</w:t>
      </w:r>
      <w:r>
        <w:t xml:space="preserve"> By 2040, oil and coal collectively relinquish a 9% share of the global energy mix, while renewables see their share grow (by 5%), as does natural gas (+2%) and nuclear (+2%).</w:t>
      </w:r>
      <w:r w:rsidR="00B619D7">
        <w:t xml:space="preserve"> </w:t>
      </w:r>
      <w:r w:rsidR="00AB2FEE">
        <w:t xml:space="preserve">Non-hydro renewables and natural gas see growth accelerate after 2025, while demand growth for oil slows notably over time and for coal it stays relatively low throughout the projection period. </w:t>
      </w:r>
    </w:p>
    <w:p w:rsidR="00AB2FEE" w:rsidRPr="00087A32" w:rsidRDefault="00AB2FEE">
      <w:pPr>
        <w:spacing w:after="0" w:line="240" w:lineRule="auto"/>
        <w:rPr>
          <w:b/>
          <w:i/>
          <w:color w:val="548DD4" w:themeColor="text2" w:themeTint="99"/>
          <w:sz w:val="20"/>
          <w:szCs w:val="20"/>
        </w:rPr>
      </w:pPr>
    </w:p>
    <w:p w:rsidR="00B619D7" w:rsidRPr="00AB2FEE" w:rsidRDefault="00B619D7" w:rsidP="00B619D7">
      <w:pPr>
        <w:tabs>
          <w:tab w:val="left" w:pos="9356"/>
        </w:tabs>
        <w:spacing w:after="0" w:line="240" w:lineRule="auto"/>
        <w:ind w:right="566"/>
        <w:jc w:val="center"/>
        <w:rPr>
          <w:b/>
          <w:sz w:val="20"/>
          <w:szCs w:val="20"/>
        </w:rPr>
      </w:pPr>
      <w:r>
        <w:rPr>
          <w:b/>
          <w:sz w:val="20"/>
          <w:szCs w:val="20"/>
        </w:rPr>
        <w:t>Figure 2: Primary energy demand and GDP by selected region in the NPS</w:t>
      </w:r>
      <w:r w:rsidRPr="00BC3579">
        <w:rPr>
          <w:b/>
          <w:sz w:val="20"/>
          <w:szCs w:val="20"/>
        </w:rPr>
        <w:t>, 2015-2040</w:t>
      </w:r>
    </w:p>
    <w:p w:rsidR="00B619D7" w:rsidRDefault="00B619D7" w:rsidP="00B619D7">
      <w:pPr>
        <w:tabs>
          <w:tab w:val="left" w:pos="9356"/>
        </w:tabs>
        <w:spacing w:after="0" w:line="240" w:lineRule="auto"/>
        <w:ind w:right="566"/>
        <w:jc w:val="both"/>
        <w:rPr>
          <w:noProof/>
          <w:lang w:eastAsia="en-GB"/>
        </w:rPr>
      </w:pPr>
    </w:p>
    <w:p w:rsidR="00B619D7" w:rsidRDefault="00B619D7" w:rsidP="00B619D7">
      <w:pPr>
        <w:tabs>
          <w:tab w:val="left" w:pos="9356"/>
        </w:tabs>
        <w:spacing w:after="0" w:line="240" w:lineRule="auto"/>
        <w:ind w:right="566"/>
        <w:jc w:val="both"/>
      </w:pPr>
      <w:r>
        <w:rPr>
          <w:noProof/>
          <w:lang w:eastAsia="en-GB"/>
        </w:rPr>
        <w:drawing>
          <wp:inline distT="0" distB="0" distL="0" distR="0" wp14:anchorId="2B897560" wp14:editId="5368B579">
            <wp:extent cx="5271770" cy="2401570"/>
            <wp:effectExtent l="0" t="0" r="5080" b="0"/>
            <wp:docPr id="1" name="Picture 1" descr="WE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O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2401570"/>
                    </a:xfrm>
                    <a:prstGeom prst="rect">
                      <a:avLst/>
                    </a:prstGeom>
                    <a:noFill/>
                    <a:ln>
                      <a:noFill/>
                    </a:ln>
                  </pic:spPr>
                </pic:pic>
              </a:graphicData>
            </a:graphic>
          </wp:inline>
        </w:drawing>
      </w:r>
    </w:p>
    <w:p w:rsidR="00B619D7" w:rsidRDefault="00B619D7" w:rsidP="00B619D7">
      <w:pPr>
        <w:spacing w:after="0" w:line="240" w:lineRule="auto"/>
        <w:rPr>
          <w:b/>
          <w:i/>
          <w:color w:val="548DD4" w:themeColor="text2" w:themeTint="99"/>
          <w:sz w:val="20"/>
          <w:szCs w:val="20"/>
        </w:rPr>
      </w:pPr>
      <w:r w:rsidRPr="00087A32">
        <w:rPr>
          <w:b/>
          <w:i/>
          <w:color w:val="548DD4" w:themeColor="text2" w:themeTint="99"/>
          <w:sz w:val="20"/>
          <w:szCs w:val="20"/>
        </w:rPr>
        <w:t>Source: WEO 2015</w:t>
      </w:r>
    </w:p>
    <w:p w:rsidR="00AB2FEE" w:rsidRDefault="00AB2FEE" w:rsidP="00AB2FEE">
      <w:pPr>
        <w:spacing w:after="0" w:line="240" w:lineRule="auto"/>
        <w:rPr>
          <w:b/>
          <w:sz w:val="24"/>
          <w:szCs w:val="24"/>
        </w:rPr>
      </w:pPr>
    </w:p>
    <w:p w:rsidR="00B619D7" w:rsidRDefault="00B619D7" w:rsidP="00AB2FEE">
      <w:pPr>
        <w:spacing w:after="0" w:line="240" w:lineRule="auto"/>
        <w:rPr>
          <w:b/>
          <w:sz w:val="24"/>
          <w:szCs w:val="24"/>
        </w:rPr>
      </w:pPr>
    </w:p>
    <w:p w:rsidR="008A4D88" w:rsidRDefault="00315966" w:rsidP="00AB2FEE">
      <w:pPr>
        <w:spacing w:after="0" w:line="240" w:lineRule="auto"/>
        <w:rPr>
          <w:b/>
          <w:sz w:val="24"/>
          <w:szCs w:val="24"/>
        </w:rPr>
      </w:pPr>
      <w:r>
        <w:rPr>
          <w:b/>
          <w:sz w:val="24"/>
          <w:szCs w:val="24"/>
        </w:rPr>
        <w:t>Outlook by Fuel</w:t>
      </w:r>
    </w:p>
    <w:p w:rsidR="008A4D88" w:rsidRDefault="008A4D88" w:rsidP="009B2ACA">
      <w:pPr>
        <w:tabs>
          <w:tab w:val="left" w:pos="9356"/>
        </w:tabs>
        <w:spacing w:after="0" w:line="240" w:lineRule="auto"/>
        <w:ind w:right="566"/>
        <w:jc w:val="both"/>
        <w:rPr>
          <w:b/>
        </w:rPr>
      </w:pPr>
    </w:p>
    <w:p w:rsidR="0065794D" w:rsidRPr="00B2514F" w:rsidRDefault="0065794D" w:rsidP="009B2ACA">
      <w:pPr>
        <w:tabs>
          <w:tab w:val="left" w:pos="9356"/>
        </w:tabs>
        <w:spacing w:after="0" w:line="240" w:lineRule="auto"/>
        <w:ind w:right="566"/>
        <w:jc w:val="both"/>
        <w:rPr>
          <w:b/>
          <w:i/>
        </w:rPr>
      </w:pPr>
      <w:r w:rsidRPr="00B2514F">
        <w:rPr>
          <w:b/>
          <w:i/>
        </w:rPr>
        <w:t xml:space="preserve">Oil </w:t>
      </w:r>
    </w:p>
    <w:p w:rsidR="0065794D" w:rsidRDefault="0065794D" w:rsidP="009B2ACA">
      <w:pPr>
        <w:tabs>
          <w:tab w:val="left" w:pos="9356"/>
        </w:tabs>
        <w:spacing w:after="0" w:line="240" w:lineRule="auto"/>
        <w:ind w:right="566"/>
        <w:jc w:val="both"/>
        <w:rPr>
          <w:b/>
        </w:rPr>
      </w:pPr>
    </w:p>
    <w:p w:rsidR="002A62BB" w:rsidRDefault="0065794D" w:rsidP="009B2ACA">
      <w:pPr>
        <w:tabs>
          <w:tab w:val="left" w:pos="9356"/>
        </w:tabs>
        <w:spacing w:after="0" w:line="240" w:lineRule="auto"/>
        <w:ind w:right="566"/>
        <w:jc w:val="both"/>
      </w:pPr>
      <w:r>
        <w:t xml:space="preserve">The process of adjustment in the oil market is rarely a smooth one, but, in our central scenario, the market rebalances at $80/bbl in 2020, with further increases in price thereafter. </w:t>
      </w:r>
      <w:r w:rsidR="002A62BB">
        <w:t xml:space="preserve">World oil demand increases by 15% in the New Policies Scenario, reaching 103.5 million barrels per day (mb/d) in 2040. Demand growth slows gradually over time, from an average of around 0.85 mb/d per year to 2020 to around 0.4 mb/d thereafter. </w:t>
      </w:r>
    </w:p>
    <w:p w:rsidR="002A62BB" w:rsidRDefault="002A62BB" w:rsidP="009B2ACA">
      <w:pPr>
        <w:tabs>
          <w:tab w:val="left" w:pos="9356"/>
        </w:tabs>
        <w:spacing w:after="0" w:line="240" w:lineRule="auto"/>
        <w:ind w:right="566"/>
        <w:jc w:val="both"/>
      </w:pPr>
    </w:p>
    <w:p w:rsidR="00CE65E4" w:rsidRDefault="002A62BB" w:rsidP="009B2ACA">
      <w:pPr>
        <w:tabs>
          <w:tab w:val="left" w:pos="9356"/>
        </w:tabs>
        <w:spacing w:after="0" w:line="240" w:lineRule="auto"/>
        <w:ind w:right="566"/>
        <w:jc w:val="both"/>
      </w:pPr>
      <w:r>
        <w:t xml:space="preserve">A boost to demand in the near term, stemming from low oil prices, is progressively counter-balanced by a combination of lower economic growth expectations in some key economies, the impact of efficiency and emissions policies and, over time, a rebound in oil prices reflecting a cut in capital investment by the oil industry. </w:t>
      </w:r>
    </w:p>
    <w:p w:rsidR="00CE65E4" w:rsidRDefault="00CE65E4" w:rsidP="009B2ACA">
      <w:pPr>
        <w:tabs>
          <w:tab w:val="left" w:pos="9356"/>
        </w:tabs>
        <w:spacing w:after="0" w:line="240" w:lineRule="auto"/>
        <w:ind w:right="566"/>
        <w:jc w:val="both"/>
      </w:pPr>
    </w:p>
    <w:p w:rsidR="002A62BB" w:rsidRDefault="002A62BB" w:rsidP="009B2ACA">
      <w:pPr>
        <w:tabs>
          <w:tab w:val="left" w:pos="9356"/>
        </w:tabs>
        <w:spacing w:after="0" w:line="240" w:lineRule="auto"/>
        <w:ind w:right="566"/>
        <w:jc w:val="both"/>
      </w:pPr>
      <w:r>
        <w:lastRenderedPageBreak/>
        <w:t>In a scenario where oil prices stay lower for longer, global oil demand is 3.7 mb/d higher than the New Policies Scenario in 2040 (over 107.2 mb/d), mainly as a result of higher transport demand. Oil demand becomes even more concentrated in the transportation and petrochemical sectors.</w:t>
      </w:r>
    </w:p>
    <w:p w:rsidR="002A62BB" w:rsidRDefault="002A62BB" w:rsidP="009B2ACA">
      <w:pPr>
        <w:tabs>
          <w:tab w:val="left" w:pos="9356"/>
        </w:tabs>
        <w:spacing w:after="0" w:line="240" w:lineRule="auto"/>
        <w:ind w:right="566"/>
        <w:jc w:val="both"/>
      </w:pPr>
    </w:p>
    <w:p w:rsidR="008A4D88" w:rsidRDefault="0065794D" w:rsidP="009B2ACA">
      <w:pPr>
        <w:tabs>
          <w:tab w:val="left" w:pos="9356"/>
        </w:tabs>
        <w:spacing w:after="0" w:line="240" w:lineRule="auto"/>
        <w:ind w:right="566"/>
        <w:jc w:val="both"/>
      </w:pPr>
      <w:r>
        <w:t xml:space="preserve">Collectively, the United States, EU and Japan see their oil demand drop by around 10 mb/d by 2040. On the supply side, the decline in current upstream </w:t>
      </w:r>
      <w:r w:rsidR="000000D4">
        <w:t>investment</w:t>
      </w:r>
      <w:r>
        <w:t xml:space="preserve">, estimated at more than 20% in 2015, results in the combined production of non-OPEC producers peaking before 2020 at just above 55 mb/d. </w:t>
      </w:r>
    </w:p>
    <w:p w:rsidR="008A4D88" w:rsidRDefault="008A4D88" w:rsidP="009B2ACA">
      <w:pPr>
        <w:tabs>
          <w:tab w:val="left" w:pos="9356"/>
        </w:tabs>
        <w:spacing w:after="0" w:line="240" w:lineRule="auto"/>
        <w:ind w:right="566"/>
        <w:jc w:val="both"/>
      </w:pPr>
    </w:p>
    <w:p w:rsidR="003C338F" w:rsidRDefault="0065794D" w:rsidP="009B2ACA">
      <w:pPr>
        <w:tabs>
          <w:tab w:val="left" w:pos="9356"/>
        </w:tabs>
        <w:spacing w:after="0" w:line="240" w:lineRule="auto"/>
        <w:ind w:right="566"/>
        <w:jc w:val="both"/>
      </w:pPr>
      <w:r>
        <w:t>Output growth among OPEC countries is led by Iraq and Iran, but both countries face major challenges: the risk of instability in Iraq, alongside weaknesses in infrastructure and institutions; and the need in Iran (assuming the path to sanctions relief is followed successfully) to secure the technology and large-scale investment required</w:t>
      </w:r>
      <w:r w:rsidR="000000D4">
        <w:t xml:space="preserve"> to increase production</w:t>
      </w:r>
      <w:r>
        <w:t>. The current overhang in supply should give no cause for complacency about oil market security</w:t>
      </w:r>
      <w:r w:rsidR="002A62BB">
        <w:t>.</w:t>
      </w:r>
    </w:p>
    <w:p w:rsidR="002A62BB" w:rsidRDefault="002A62BB" w:rsidP="009B2ACA">
      <w:pPr>
        <w:tabs>
          <w:tab w:val="left" w:pos="9356"/>
        </w:tabs>
        <w:spacing w:after="0" w:line="240" w:lineRule="auto"/>
        <w:ind w:right="566"/>
        <w:jc w:val="both"/>
      </w:pPr>
    </w:p>
    <w:p w:rsidR="002A62BB" w:rsidRPr="00B2514F" w:rsidRDefault="002A62BB" w:rsidP="009B2ACA">
      <w:pPr>
        <w:tabs>
          <w:tab w:val="left" w:pos="9356"/>
        </w:tabs>
        <w:spacing w:after="0" w:line="240" w:lineRule="auto"/>
        <w:ind w:right="566"/>
        <w:jc w:val="both"/>
        <w:rPr>
          <w:b/>
          <w:i/>
        </w:rPr>
      </w:pPr>
      <w:r w:rsidRPr="00B2514F">
        <w:rPr>
          <w:b/>
          <w:i/>
        </w:rPr>
        <w:t>Coal</w:t>
      </w:r>
    </w:p>
    <w:p w:rsidR="002A62BB" w:rsidRDefault="002A62BB" w:rsidP="009B2ACA">
      <w:pPr>
        <w:tabs>
          <w:tab w:val="left" w:pos="9356"/>
        </w:tabs>
        <w:spacing w:after="0" w:line="240" w:lineRule="auto"/>
        <w:ind w:right="566"/>
        <w:jc w:val="both"/>
      </w:pPr>
    </w:p>
    <w:p w:rsidR="002A62BB" w:rsidRDefault="002A62BB" w:rsidP="009B2ACA">
      <w:pPr>
        <w:tabs>
          <w:tab w:val="left" w:pos="9356"/>
        </w:tabs>
        <w:spacing w:after="0" w:line="240" w:lineRule="auto"/>
        <w:ind w:right="566"/>
        <w:jc w:val="both"/>
      </w:pPr>
      <w:r>
        <w:t xml:space="preserve">In the New Policies Scenario, global coal demand grows by around 10% by 2040, to exceed 6 300 million tonnes of coal equivalent (Mtce), reflecting the net outcome of declining or stable demand in some markets and growing demand in others. The power sector accounts for the majority of the increase in coal use and continues to account for over 60% of world coal consumption. </w:t>
      </w:r>
    </w:p>
    <w:p w:rsidR="002A62BB" w:rsidRDefault="002A62BB" w:rsidP="009B2ACA">
      <w:pPr>
        <w:tabs>
          <w:tab w:val="left" w:pos="9356"/>
        </w:tabs>
        <w:spacing w:after="0" w:line="240" w:lineRule="auto"/>
        <w:ind w:right="566"/>
        <w:jc w:val="both"/>
      </w:pPr>
    </w:p>
    <w:p w:rsidR="002A62BB" w:rsidRDefault="002A62BB" w:rsidP="009B2ACA">
      <w:pPr>
        <w:tabs>
          <w:tab w:val="left" w:pos="9356"/>
        </w:tabs>
        <w:spacing w:after="0" w:line="240" w:lineRule="auto"/>
        <w:ind w:right="566"/>
        <w:jc w:val="both"/>
      </w:pPr>
      <w:r>
        <w:t xml:space="preserve">Coal’s share of global electricity generation drops from 41% in 2013 to 30% in 2040, but this hides a major disparity between developing Asia (where it goes from 68% to below 50%) and the rest of the world (from 27% to 13%). </w:t>
      </w:r>
    </w:p>
    <w:p w:rsidR="002A62BB" w:rsidRDefault="002A62BB" w:rsidP="009B2ACA">
      <w:pPr>
        <w:tabs>
          <w:tab w:val="left" w:pos="9356"/>
        </w:tabs>
        <w:spacing w:after="0" w:line="240" w:lineRule="auto"/>
        <w:ind w:right="566"/>
        <w:jc w:val="both"/>
      </w:pPr>
    </w:p>
    <w:p w:rsidR="003D658D" w:rsidRDefault="002A62BB" w:rsidP="009B2ACA">
      <w:pPr>
        <w:tabs>
          <w:tab w:val="left" w:pos="9356"/>
        </w:tabs>
        <w:spacing w:after="0" w:line="240" w:lineRule="auto"/>
        <w:ind w:right="566"/>
        <w:jc w:val="both"/>
      </w:pPr>
      <w:r>
        <w:t xml:space="preserve">The single largest energy demand growth story of recent decades is near its end. Recent years have seen a marked slowdown in global coal demand growth, led by China, and, in the New Policies Scenario, China’s coal use is projected to have all but reached a plateau that is broadly maintained through to 2040. </w:t>
      </w:r>
    </w:p>
    <w:p w:rsidR="003D658D" w:rsidRDefault="003D658D" w:rsidP="009B2ACA">
      <w:pPr>
        <w:tabs>
          <w:tab w:val="left" w:pos="9356"/>
        </w:tabs>
        <w:spacing w:after="0" w:line="240" w:lineRule="auto"/>
        <w:ind w:right="566"/>
        <w:jc w:val="both"/>
      </w:pPr>
    </w:p>
    <w:p w:rsidR="003D658D" w:rsidRDefault="002A62BB" w:rsidP="009B2ACA">
      <w:pPr>
        <w:tabs>
          <w:tab w:val="left" w:pos="9356"/>
        </w:tabs>
        <w:spacing w:after="0" w:line="240" w:lineRule="auto"/>
        <w:ind w:right="566"/>
        <w:jc w:val="both"/>
      </w:pPr>
      <w:r>
        <w:t>In the New Policies Scenario, coal demand in China’s power sector is tempered, but still increases by 14% before levelling</w:t>
      </w:r>
      <w:r w:rsidR="00554335">
        <w:t xml:space="preserve"> </w:t>
      </w:r>
      <w:r>
        <w:t xml:space="preserve">off in the mid-2030s. This growth is offset by changes in </w:t>
      </w:r>
      <w:r w:rsidR="00554335">
        <w:t xml:space="preserve">China’s </w:t>
      </w:r>
      <w:r>
        <w:t xml:space="preserve">industrial coal use, which falls by more than 35% by 2040. </w:t>
      </w:r>
    </w:p>
    <w:p w:rsidR="003D658D" w:rsidRDefault="003D658D" w:rsidP="009B2ACA">
      <w:pPr>
        <w:tabs>
          <w:tab w:val="left" w:pos="9356"/>
        </w:tabs>
        <w:spacing w:after="0" w:line="240" w:lineRule="auto"/>
        <w:ind w:right="566"/>
        <w:jc w:val="both"/>
      </w:pPr>
    </w:p>
    <w:p w:rsidR="003D658D" w:rsidRDefault="002A62BB" w:rsidP="009B2ACA">
      <w:pPr>
        <w:tabs>
          <w:tab w:val="left" w:pos="9356"/>
        </w:tabs>
        <w:spacing w:after="0" w:line="240" w:lineRule="auto"/>
        <w:ind w:right="566"/>
        <w:jc w:val="both"/>
      </w:pPr>
      <w:r>
        <w:t>India’s appetite for coal leads the growth picture, both in the region and globally, and it soon overtakes the United States to become the world’s second-largest consumer</w:t>
      </w:r>
      <w:r w:rsidR="00CE65E4">
        <w:t>.</w:t>
      </w:r>
      <w:r>
        <w:t xml:space="preserve"> India’s industrial sector sees coal demand more than triple by 2040, reflecting a greater focus on the industrialisation of its economy. Southeast Asia, led by Indonesia, but also Viet Nam, Philippines and Malaysia, sees total coal demand more than triple over the projection period. </w:t>
      </w:r>
    </w:p>
    <w:p w:rsidR="003D658D" w:rsidRDefault="003D658D" w:rsidP="009B2ACA">
      <w:pPr>
        <w:tabs>
          <w:tab w:val="left" w:pos="9356"/>
        </w:tabs>
        <w:spacing w:after="0" w:line="240" w:lineRule="auto"/>
        <w:ind w:right="566"/>
        <w:jc w:val="both"/>
      </w:pPr>
    </w:p>
    <w:p w:rsidR="002A62BB" w:rsidRDefault="002A62BB" w:rsidP="009B2ACA">
      <w:pPr>
        <w:tabs>
          <w:tab w:val="left" w:pos="9356"/>
        </w:tabs>
        <w:spacing w:after="0" w:line="240" w:lineRule="auto"/>
        <w:ind w:right="566"/>
        <w:jc w:val="both"/>
      </w:pPr>
      <w:r>
        <w:t>By 2040, Asia is projected to account for four out of every five tonnes of coal consume</w:t>
      </w:r>
      <w:r w:rsidR="00CE65E4">
        <w:t>d globally</w:t>
      </w:r>
      <w:r>
        <w:t xml:space="preserve">. In contrast, coal demand declines in almost all OECD regions. Coal demand in the United States peaked in 2005 and has since fallen by more than one-fifth. This trend continues in the New Policies Scenario, as the United States registers one of the largest drops in demand over the Outlook period, with consumption ending more than one-third lower </w:t>
      </w:r>
      <w:r w:rsidR="008A37BF">
        <w:t xml:space="preserve">in 2040 </w:t>
      </w:r>
      <w:r>
        <w:t xml:space="preserve">than </w:t>
      </w:r>
      <w:r w:rsidR="008A37BF">
        <w:t xml:space="preserve">in </w:t>
      </w:r>
      <w:r>
        <w:t>2013.</w:t>
      </w:r>
    </w:p>
    <w:p w:rsidR="003D658D" w:rsidRDefault="003D658D" w:rsidP="009B2ACA">
      <w:pPr>
        <w:tabs>
          <w:tab w:val="left" w:pos="9356"/>
        </w:tabs>
        <w:spacing w:after="0" w:line="240" w:lineRule="auto"/>
        <w:ind w:right="566"/>
        <w:jc w:val="both"/>
      </w:pPr>
    </w:p>
    <w:p w:rsidR="003D658D" w:rsidRPr="00B2514F" w:rsidRDefault="003D658D" w:rsidP="009B2ACA">
      <w:pPr>
        <w:tabs>
          <w:tab w:val="left" w:pos="9356"/>
        </w:tabs>
        <w:spacing w:after="0" w:line="240" w:lineRule="auto"/>
        <w:ind w:right="566"/>
        <w:jc w:val="both"/>
        <w:rPr>
          <w:b/>
          <w:i/>
        </w:rPr>
      </w:pPr>
      <w:r w:rsidRPr="00B2514F">
        <w:rPr>
          <w:b/>
          <w:i/>
        </w:rPr>
        <w:t>Natural Gas</w:t>
      </w:r>
    </w:p>
    <w:p w:rsidR="003D658D" w:rsidRDefault="003D658D" w:rsidP="009B2ACA">
      <w:pPr>
        <w:tabs>
          <w:tab w:val="left" w:pos="9356"/>
        </w:tabs>
        <w:spacing w:after="0" w:line="240" w:lineRule="auto"/>
        <w:ind w:right="566"/>
        <w:jc w:val="both"/>
      </w:pPr>
    </w:p>
    <w:p w:rsidR="00E9009C" w:rsidRDefault="003D658D" w:rsidP="009B2ACA">
      <w:pPr>
        <w:tabs>
          <w:tab w:val="left" w:pos="9356"/>
        </w:tabs>
        <w:spacing w:after="0" w:line="240" w:lineRule="auto"/>
        <w:ind w:right="566"/>
        <w:jc w:val="both"/>
      </w:pPr>
      <w:r>
        <w:t xml:space="preserve">In 2014, natural gas markets continued to demonstrate significant diversity across regions, with strong natural gas demand in the United States, the Middle East and China, and a weak market in Europe. </w:t>
      </w:r>
    </w:p>
    <w:p w:rsidR="00E9009C" w:rsidRDefault="00E9009C" w:rsidP="009B2ACA">
      <w:pPr>
        <w:tabs>
          <w:tab w:val="left" w:pos="9356"/>
        </w:tabs>
        <w:spacing w:after="0" w:line="240" w:lineRule="auto"/>
        <w:ind w:right="566"/>
        <w:jc w:val="both"/>
      </w:pPr>
    </w:p>
    <w:p w:rsidR="00E9009C" w:rsidRDefault="003D658D" w:rsidP="009B2ACA">
      <w:pPr>
        <w:tabs>
          <w:tab w:val="left" w:pos="9356"/>
        </w:tabs>
        <w:spacing w:after="0" w:line="240" w:lineRule="auto"/>
        <w:ind w:right="566"/>
        <w:jc w:val="both"/>
      </w:pPr>
      <w:r>
        <w:t xml:space="preserve">In the New Policies Scenario, the global market for natural gas expands by 47% to reach 5 160 billion cubic metres (bcm) in 2040, registering steady growth of around 1.4% per year and coming close to rivalling coal as the second-largest fuel in the energy </w:t>
      </w:r>
      <w:r w:rsidR="00A107E8">
        <w:t>mix</w:t>
      </w:r>
      <w:r>
        <w:t xml:space="preserve">. </w:t>
      </w:r>
    </w:p>
    <w:p w:rsidR="00E9009C" w:rsidRDefault="00E9009C" w:rsidP="009B2ACA">
      <w:pPr>
        <w:tabs>
          <w:tab w:val="left" w:pos="9356"/>
        </w:tabs>
        <w:spacing w:after="0" w:line="240" w:lineRule="auto"/>
        <w:ind w:right="566"/>
        <w:jc w:val="both"/>
      </w:pPr>
    </w:p>
    <w:p w:rsidR="00E9009C" w:rsidRDefault="003D658D" w:rsidP="009B2ACA">
      <w:pPr>
        <w:tabs>
          <w:tab w:val="left" w:pos="9356"/>
        </w:tabs>
        <w:spacing w:after="0" w:line="240" w:lineRule="auto"/>
        <w:ind w:right="566"/>
        <w:jc w:val="both"/>
      </w:pPr>
      <w:r>
        <w:t xml:space="preserve">In almost all regions, power generation is the largest use of natural gas and the main driver of demand growth, although natural gas is also used more extensively in industry in some markets (Middle East, China) and starts to make a dent in road transport in some cases. </w:t>
      </w:r>
    </w:p>
    <w:p w:rsidR="00E9009C" w:rsidRDefault="00E9009C" w:rsidP="009B2ACA">
      <w:pPr>
        <w:tabs>
          <w:tab w:val="left" w:pos="9356"/>
        </w:tabs>
        <w:spacing w:after="0" w:line="240" w:lineRule="auto"/>
        <w:ind w:right="566"/>
        <w:jc w:val="both"/>
      </w:pPr>
    </w:p>
    <w:p w:rsidR="003D658D" w:rsidRDefault="003D658D" w:rsidP="009B2ACA">
      <w:pPr>
        <w:tabs>
          <w:tab w:val="left" w:pos="9356"/>
        </w:tabs>
        <w:spacing w:after="0" w:line="240" w:lineRule="auto"/>
        <w:ind w:right="566"/>
        <w:jc w:val="both"/>
      </w:pPr>
      <w:r>
        <w:t xml:space="preserve">Despite this, the global </w:t>
      </w:r>
      <w:r w:rsidR="008A37BF">
        <w:t>o</w:t>
      </w:r>
      <w:r>
        <w:t>utlook for natural gas i</w:t>
      </w:r>
      <w:r w:rsidR="00E9009C">
        <w:t xml:space="preserve">s a little less golden than during the previous review </w:t>
      </w:r>
      <w:r>
        <w:t>– around 220 bcm lower in 2040 – reflecting a combination of efficiency policies, more sluggish electricity demand in some (mainly OECD) markets and its ongoing rivalry with other fuels and technologies.</w:t>
      </w:r>
    </w:p>
    <w:p w:rsidR="00E9009C" w:rsidRDefault="00E9009C" w:rsidP="009B2ACA">
      <w:pPr>
        <w:tabs>
          <w:tab w:val="left" w:pos="9356"/>
        </w:tabs>
        <w:spacing w:after="0" w:line="240" w:lineRule="auto"/>
        <w:ind w:right="566"/>
        <w:jc w:val="both"/>
      </w:pPr>
    </w:p>
    <w:p w:rsidR="00E9009C" w:rsidRPr="00B2514F" w:rsidRDefault="00E9009C" w:rsidP="009B2ACA">
      <w:pPr>
        <w:tabs>
          <w:tab w:val="left" w:pos="9356"/>
        </w:tabs>
        <w:spacing w:after="0" w:line="240" w:lineRule="auto"/>
        <w:ind w:right="566"/>
        <w:jc w:val="both"/>
        <w:rPr>
          <w:b/>
          <w:i/>
        </w:rPr>
      </w:pPr>
      <w:r w:rsidRPr="00B2514F">
        <w:rPr>
          <w:b/>
          <w:i/>
        </w:rPr>
        <w:t>Renewables</w:t>
      </w:r>
    </w:p>
    <w:p w:rsidR="00E9009C" w:rsidRPr="00B2514F" w:rsidRDefault="00E9009C" w:rsidP="009B2ACA">
      <w:pPr>
        <w:tabs>
          <w:tab w:val="left" w:pos="9356"/>
        </w:tabs>
        <w:spacing w:after="0" w:line="240" w:lineRule="auto"/>
        <w:ind w:right="566"/>
        <w:jc w:val="both"/>
      </w:pPr>
    </w:p>
    <w:p w:rsidR="00E9009C" w:rsidRDefault="00E9009C" w:rsidP="00E16143">
      <w:pPr>
        <w:spacing w:after="0" w:line="240" w:lineRule="auto"/>
        <w:jc w:val="both"/>
      </w:pPr>
      <w:r>
        <w:t xml:space="preserve">In the New Policies Scenario, renewables meet around 35% of the total growth in primary energy demand, driven by a combination of supportive government policies and technological advances that help to improve their competitive stance. </w:t>
      </w:r>
    </w:p>
    <w:p w:rsidR="00E9009C" w:rsidRDefault="00E9009C" w:rsidP="00E16143">
      <w:pPr>
        <w:spacing w:after="0" w:line="240" w:lineRule="auto"/>
        <w:jc w:val="both"/>
      </w:pPr>
    </w:p>
    <w:p w:rsidR="00E9009C" w:rsidRDefault="00E9009C" w:rsidP="00E16143">
      <w:pPr>
        <w:spacing w:after="0" w:line="240" w:lineRule="auto"/>
        <w:jc w:val="both"/>
      </w:pPr>
      <w:r>
        <w:t xml:space="preserve">By 2040, renewable energy accounts for one-third of total electricity generation, one-sixth of heat demand and more than 5% of all transport fuel consumption. Biofuel blending mandates are now in place in around 60 countries and, in the New Policies Scenario, demand for biofuels in transport is projected to triple over the Outlook period, exceeding </w:t>
      </w:r>
      <w:proofErr w:type="gramStart"/>
      <w:r>
        <w:t>4 mboe/d</w:t>
      </w:r>
      <w:proofErr w:type="gramEnd"/>
      <w:r>
        <w:t xml:space="preserve"> by 2040. </w:t>
      </w:r>
    </w:p>
    <w:p w:rsidR="00E9009C" w:rsidRDefault="00E9009C" w:rsidP="00E16143">
      <w:pPr>
        <w:spacing w:after="0" w:line="240" w:lineRule="auto"/>
        <w:jc w:val="both"/>
      </w:pPr>
    </w:p>
    <w:p w:rsidR="00E9009C" w:rsidRDefault="00E9009C" w:rsidP="00E16143">
      <w:pPr>
        <w:spacing w:after="0" w:line="240" w:lineRule="auto"/>
        <w:jc w:val="both"/>
      </w:pPr>
      <w:r>
        <w:t>The United States (targeting 36 billion gallons of renewable fuels by 2022), Brazil (biofuel blending mandate recently increased to 27%) and the European Union (targeting 10% of transport energy from renewable sources by 2020) continue to be the key markets</w:t>
      </w:r>
      <w:r w:rsidR="00BA3047">
        <w:t xml:space="preserve"> for </w:t>
      </w:r>
      <w:proofErr w:type="gramStart"/>
      <w:r w:rsidR="00BA3047">
        <w:t>biofuels</w:t>
      </w:r>
      <w:r>
        <w:t xml:space="preserve"> </w:t>
      </w:r>
      <w:r w:rsidR="00BA3047">
        <w:t xml:space="preserve"> --</w:t>
      </w:r>
      <w:proofErr w:type="gramEnd"/>
      <w:r w:rsidR="00BA3047">
        <w:t xml:space="preserve"> </w:t>
      </w:r>
      <w:r>
        <w:t>all of them more than double in size</w:t>
      </w:r>
      <w:r w:rsidR="00BA3047">
        <w:t xml:space="preserve"> by 2040 --</w:t>
      </w:r>
      <w:r>
        <w:t xml:space="preserve"> with China and India also expanding the use of biofuels over time. </w:t>
      </w:r>
    </w:p>
    <w:p w:rsidR="00E9009C" w:rsidRDefault="00E9009C" w:rsidP="00E16143">
      <w:pPr>
        <w:spacing w:after="0" w:line="240" w:lineRule="auto"/>
        <w:jc w:val="both"/>
      </w:pPr>
    </w:p>
    <w:p w:rsidR="00E9009C" w:rsidRDefault="00E9009C" w:rsidP="00E16143">
      <w:pPr>
        <w:spacing w:after="0" w:line="240" w:lineRule="auto"/>
        <w:jc w:val="both"/>
      </w:pPr>
      <w:r>
        <w:t xml:space="preserve">In 2040, the consumption of bioenergy for cooking and heating still accounts for a large share of the use of renewable energy in the buildings sector (especially in Africa and parts of Asia), with the electricity consumed from rooftop solar photovoltaics (PV) a noteworthy complement. </w:t>
      </w:r>
    </w:p>
    <w:p w:rsidR="00E9009C" w:rsidRDefault="00E9009C" w:rsidP="00E16143">
      <w:pPr>
        <w:spacing w:after="0" w:line="240" w:lineRule="auto"/>
        <w:jc w:val="both"/>
      </w:pPr>
    </w:p>
    <w:p w:rsidR="00E9009C" w:rsidRPr="00B2514F" w:rsidRDefault="00E9009C" w:rsidP="00E16143">
      <w:pPr>
        <w:spacing w:after="0" w:line="240" w:lineRule="auto"/>
        <w:jc w:val="both"/>
        <w:rPr>
          <w:b/>
          <w:i/>
        </w:rPr>
      </w:pPr>
      <w:r w:rsidRPr="00B2514F">
        <w:rPr>
          <w:b/>
          <w:i/>
        </w:rPr>
        <w:t>Electricity</w:t>
      </w:r>
    </w:p>
    <w:p w:rsidR="00E9009C" w:rsidRDefault="00E9009C" w:rsidP="00E16143">
      <w:pPr>
        <w:spacing w:after="0" w:line="240" w:lineRule="auto"/>
        <w:jc w:val="both"/>
      </w:pPr>
    </w:p>
    <w:p w:rsidR="002F0EF4" w:rsidRDefault="00E9009C" w:rsidP="00E16143">
      <w:pPr>
        <w:spacing w:after="0" w:line="240" w:lineRule="auto"/>
        <w:jc w:val="both"/>
      </w:pPr>
      <w:r>
        <w:t xml:space="preserve">The world continues to electrify, with electricity demand growing by more </w:t>
      </w:r>
      <w:r w:rsidR="00A107E8">
        <w:t>than 70% by 2040</w:t>
      </w:r>
      <w:r>
        <w:t xml:space="preserve">. Non-OECD markets account for more than 85% of the growth, led by China (one-third of the global increase), followed (some way behind) by India, Southeast Asia, Africa, the Middle East and Latin America. </w:t>
      </w:r>
    </w:p>
    <w:p w:rsidR="002F0EF4" w:rsidRDefault="002F0EF4" w:rsidP="00E16143">
      <w:pPr>
        <w:spacing w:after="0" w:line="240" w:lineRule="auto"/>
        <w:jc w:val="both"/>
      </w:pPr>
    </w:p>
    <w:p w:rsidR="00095BCC" w:rsidRDefault="00E9009C" w:rsidP="00E16143">
      <w:pPr>
        <w:spacing w:after="0" w:line="240" w:lineRule="auto"/>
        <w:jc w:val="both"/>
        <w:rPr>
          <w:rFonts w:ascii="Trebuchet MS" w:hAnsi="Trebuchet MS"/>
          <w:b/>
          <w:sz w:val="24"/>
          <w:szCs w:val="24"/>
        </w:rPr>
      </w:pPr>
      <w:r>
        <w:t>The European Union and Japan both see electricity use grow by less than 10% to 2040. Total non-OECD electricity demand is double that of the OECD countries by 2040, but per-capita demand remains much lower in most cases. The means by which electricity demand is met is covered in subsequent sections.</w:t>
      </w:r>
    </w:p>
    <w:p w:rsidR="00095BCC" w:rsidRDefault="00095BCC" w:rsidP="00087A32">
      <w:pPr>
        <w:spacing w:after="0" w:line="240" w:lineRule="auto"/>
        <w:jc w:val="center"/>
        <w:rPr>
          <w:rFonts w:asciiTheme="minorHAnsi" w:hAnsiTheme="minorHAnsi"/>
          <w:b/>
          <w:sz w:val="20"/>
          <w:szCs w:val="20"/>
        </w:rPr>
      </w:pPr>
    </w:p>
    <w:p w:rsidR="00A107E8" w:rsidRDefault="00A107E8" w:rsidP="00087A32">
      <w:pPr>
        <w:spacing w:after="0" w:line="240" w:lineRule="auto"/>
        <w:jc w:val="center"/>
        <w:rPr>
          <w:rFonts w:asciiTheme="minorHAnsi" w:hAnsiTheme="minorHAnsi"/>
          <w:b/>
          <w:sz w:val="20"/>
          <w:szCs w:val="20"/>
        </w:rPr>
      </w:pPr>
    </w:p>
    <w:p w:rsidR="00A107E8" w:rsidRDefault="00A107E8" w:rsidP="00087A32">
      <w:pPr>
        <w:spacing w:after="0" w:line="240" w:lineRule="auto"/>
        <w:jc w:val="center"/>
        <w:rPr>
          <w:rFonts w:asciiTheme="minorHAnsi" w:hAnsiTheme="minorHAnsi"/>
          <w:b/>
          <w:sz w:val="20"/>
          <w:szCs w:val="20"/>
        </w:rPr>
      </w:pPr>
    </w:p>
    <w:p w:rsidR="00087A32" w:rsidRPr="00087A32" w:rsidRDefault="00087A32" w:rsidP="00087A32">
      <w:pPr>
        <w:spacing w:after="0" w:line="240" w:lineRule="auto"/>
        <w:jc w:val="center"/>
        <w:rPr>
          <w:rFonts w:asciiTheme="minorHAnsi" w:hAnsiTheme="minorHAnsi"/>
          <w:b/>
          <w:sz w:val="20"/>
          <w:szCs w:val="20"/>
        </w:rPr>
      </w:pPr>
    </w:p>
    <w:p w:rsidR="00087A32" w:rsidRPr="00087A32" w:rsidRDefault="00087A32" w:rsidP="00087A32">
      <w:pPr>
        <w:spacing w:after="0" w:line="240" w:lineRule="auto"/>
        <w:jc w:val="center"/>
        <w:rPr>
          <w:rFonts w:asciiTheme="minorHAnsi" w:hAnsiTheme="minorHAnsi"/>
          <w:b/>
          <w:sz w:val="20"/>
          <w:szCs w:val="20"/>
        </w:rPr>
      </w:pPr>
      <w:r w:rsidRPr="00087A32">
        <w:rPr>
          <w:rFonts w:asciiTheme="minorHAnsi" w:hAnsiTheme="minorHAnsi"/>
          <w:b/>
          <w:sz w:val="20"/>
          <w:szCs w:val="20"/>
        </w:rPr>
        <w:t>Figure 4: Primary energy demand by fuel in the NPS</w:t>
      </w:r>
    </w:p>
    <w:p w:rsidR="00095BCC" w:rsidRDefault="00095BCC" w:rsidP="00E16143">
      <w:pPr>
        <w:spacing w:after="0" w:line="240" w:lineRule="auto"/>
        <w:jc w:val="both"/>
        <w:rPr>
          <w:rFonts w:ascii="Trebuchet MS" w:hAnsi="Trebuchet MS"/>
          <w:b/>
          <w:sz w:val="24"/>
          <w:szCs w:val="24"/>
        </w:rPr>
      </w:pPr>
    </w:p>
    <w:p w:rsidR="00095BCC" w:rsidRPr="00087A32" w:rsidRDefault="005B2AF8" w:rsidP="00E16143">
      <w:pPr>
        <w:spacing w:after="0" w:line="240" w:lineRule="auto"/>
        <w:jc w:val="both"/>
        <w:rPr>
          <w:rFonts w:asciiTheme="minorHAnsi" w:hAnsiTheme="minorHAnsi"/>
          <w:i/>
          <w:color w:val="548DD4" w:themeColor="text2" w:themeTint="99"/>
          <w:sz w:val="16"/>
          <w:szCs w:val="16"/>
        </w:rPr>
      </w:pPr>
      <w:r>
        <w:rPr>
          <w:rFonts w:ascii="Trebuchet MS" w:hAnsi="Trebuchet MS"/>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90.35pt">
            <v:imagedata r:id="rId11" o:title="WEO 4"/>
          </v:shape>
        </w:pict>
      </w:r>
    </w:p>
    <w:p w:rsidR="00095BCC" w:rsidRDefault="00087A32">
      <w:pPr>
        <w:spacing w:after="0" w:line="240" w:lineRule="auto"/>
        <w:rPr>
          <w:rFonts w:ascii="Trebuchet MS" w:hAnsi="Trebuchet MS"/>
          <w:b/>
          <w:sz w:val="20"/>
          <w:szCs w:val="20"/>
        </w:rPr>
      </w:pPr>
      <w:r w:rsidRPr="00087A32">
        <w:rPr>
          <w:rFonts w:asciiTheme="minorHAnsi" w:hAnsiTheme="minorHAnsi"/>
          <w:b/>
          <w:i/>
          <w:color w:val="548DD4" w:themeColor="text2" w:themeTint="99"/>
          <w:sz w:val="20"/>
          <w:szCs w:val="20"/>
        </w:rPr>
        <w:t>Source: WEO 2015</w:t>
      </w:r>
      <w:r w:rsidR="00095BCC" w:rsidRPr="00087A32">
        <w:rPr>
          <w:rFonts w:ascii="Trebuchet MS" w:hAnsi="Trebuchet MS"/>
          <w:b/>
          <w:sz w:val="20"/>
          <w:szCs w:val="20"/>
        </w:rPr>
        <w:br w:type="page"/>
      </w:r>
    </w:p>
    <w:p w:rsidR="003100C9" w:rsidRPr="00087A32" w:rsidRDefault="003100C9">
      <w:pPr>
        <w:spacing w:after="0" w:line="240" w:lineRule="auto"/>
        <w:rPr>
          <w:rFonts w:ascii="Trebuchet MS" w:hAnsi="Trebuchet MS"/>
          <w:b/>
          <w:sz w:val="20"/>
          <w:szCs w:val="20"/>
        </w:rPr>
      </w:pPr>
    </w:p>
    <w:p w:rsidR="00444A10" w:rsidRDefault="00444A10" w:rsidP="00AF5501">
      <w:pPr>
        <w:spacing w:after="0" w:line="240" w:lineRule="auto"/>
        <w:rPr>
          <w:rFonts w:asciiTheme="minorHAnsi" w:eastAsiaTheme="minorHAnsi" w:hAnsiTheme="minorHAnsi" w:cstheme="minorBidi"/>
          <w:b/>
          <w:sz w:val="20"/>
          <w:szCs w:val="20"/>
          <w:lang w:val="en-US"/>
        </w:rPr>
      </w:pPr>
    </w:p>
    <w:p w:rsidR="00B00C9F" w:rsidRPr="00B2514F" w:rsidRDefault="003D658D" w:rsidP="00A0642B">
      <w:pPr>
        <w:spacing w:after="0" w:line="240" w:lineRule="auto"/>
        <w:rPr>
          <w:rFonts w:asciiTheme="minorHAnsi" w:eastAsiaTheme="minorHAnsi" w:hAnsiTheme="minorHAnsi" w:cstheme="minorBidi"/>
          <w:b/>
          <w:sz w:val="20"/>
          <w:szCs w:val="20"/>
          <w:lang w:val="en-US"/>
        </w:rPr>
      </w:pPr>
      <w:r>
        <w:rPr>
          <w:rFonts w:asciiTheme="minorHAnsi" w:eastAsiaTheme="minorHAnsi" w:hAnsiTheme="minorHAnsi" w:cstheme="minorBidi"/>
          <w:b/>
          <w:sz w:val="24"/>
          <w:szCs w:val="24"/>
          <w:u w:val="single"/>
          <w:lang w:val="en-US"/>
        </w:rPr>
        <w:t>World</w:t>
      </w:r>
      <w:r w:rsidRPr="00B2514F">
        <w:rPr>
          <w:rFonts w:asciiTheme="minorHAnsi" w:eastAsiaTheme="minorHAnsi" w:hAnsiTheme="minorHAnsi" w:cstheme="minorBidi"/>
          <w:b/>
          <w:sz w:val="24"/>
          <w:szCs w:val="24"/>
          <w:u w:val="single"/>
          <w:lang w:val="en-US"/>
        </w:rPr>
        <w:t xml:space="preserve"> </w:t>
      </w:r>
      <w:r w:rsidR="00B00C9F" w:rsidRPr="00B2514F">
        <w:rPr>
          <w:rFonts w:asciiTheme="minorHAnsi" w:eastAsiaTheme="minorHAnsi" w:hAnsiTheme="minorHAnsi" w:cstheme="minorBidi"/>
          <w:b/>
          <w:sz w:val="24"/>
          <w:szCs w:val="24"/>
          <w:u w:val="single"/>
          <w:lang w:val="en-US"/>
        </w:rPr>
        <w:t>Energy Investment</w:t>
      </w:r>
      <w:r>
        <w:rPr>
          <w:rFonts w:asciiTheme="minorHAnsi" w:eastAsiaTheme="minorHAnsi" w:hAnsiTheme="minorHAnsi" w:cstheme="minorBidi"/>
          <w:b/>
          <w:sz w:val="24"/>
          <w:szCs w:val="24"/>
          <w:u w:val="single"/>
          <w:lang w:val="en-US"/>
        </w:rPr>
        <w:t xml:space="preserve"> 2016</w:t>
      </w:r>
    </w:p>
    <w:p w:rsidR="005B2AF8" w:rsidRDefault="005B2AF8" w:rsidP="00B2514F">
      <w:pPr>
        <w:spacing w:after="100" w:afterAutospacing="1" w:line="240" w:lineRule="auto"/>
        <w:jc w:val="both"/>
        <w:rPr>
          <w:rFonts w:asciiTheme="minorHAnsi" w:eastAsia="Times New Roman" w:hAnsiTheme="minorHAnsi"/>
          <w:lang w:eastAsia="en-GB"/>
        </w:rPr>
      </w:pPr>
    </w:p>
    <w:p w:rsidR="00806302" w:rsidRPr="00B2514F" w:rsidRDefault="00746C0A" w:rsidP="00B2514F">
      <w:pPr>
        <w:spacing w:after="100" w:afterAutospacing="1" w:line="240" w:lineRule="auto"/>
        <w:jc w:val="both"/>
        <w:rPr>
          <w:rFonts w:asciiTheme="minorHAnsi" w:eastAsia="Times New Roman" w:hAnsiTheme="minorHAnsi"/>
          <w:lang w:eastAsia="en-GB"/>
        </w:rPr>
      </w:pPr>
      <w:r w:rsidRPr="00B2514F">
        <w:rPr>
          <w:rFonts w:asciiTheme="minorHAnsi" w:eastAsia="Times New Roman" w:hAnsiTheme="minorHAnsi"/>
          <w:lang w:eastAsia="en-GB"/>
        </w:rPr>
        <w:t>T</w:t>
      </w:r>
      <w:r w:rsidR="00242721" w:rsidRPr="00B2514F">
        <w:rPr>
          <w:rFonts w:asciiTheme="minorHAnsi" w:eastAsia="Times New Roman" w:hAnsiTheme="minorHAnsi"/>
          <w:lang w:eastAsia="en-GB"/>
        </w:rPr>
        <w:t xml:space="preserve">he upstream oil and gas sector continues to attract the biggest share of global energy investment, </w:t>
      </w:r>
      <w:r w:rsidRPr="00B2514F">
        <w:rPr>
          <w:rFonts w:asciiTheme="minorHAnsi" w:eastAsia="Times New Roman" w:hAnsiTheme="minorHAnsi"/>
          <w:lang w:eastAsia="en-GB"/>
        </w:rPr>
        <w:t xml:space="preserve">but </w:t>
      </w:r>
      <w:r w:rsidR="00242721" w:rsidRPr="00B2514F">
        <w:rPr>
          <w:rFonts w:asciiTheme="minorHAnsi" w:eastAsia="Times New Roman" w:hAnsiTheme="minorHAnsi"/>
          <w:lang w:eastAsia="en-GB"/>
        </w:rPr>
        <w:t>t</w:t>
      </w:r>
      <w:r w:rsidR="00806302" w:rsidRPr="00B2514F">
        <w:rPr>
          <w:rFonts w:asciiTheme="minorHAnsi" w:eastAsia="Times New Roman" w:hAnsiTheme="minorHAnsi"/>
          <w:lang w:eastAsia="en-GB"/>
        </w:rPr>
        <w:t xml:space="preserve">he </w:t>
      </w:r>
      <w:r w:rsidR="0050646C" w:rsidRPr="00B2514F">
        <w:rPr>
          <w:rFonts w:asciiTheme="minorHAnsi" w:eastAsia="Times New Roman" w:hAnsiTheme="minorHAnsi"/>
          <w:lang w:eastAsia="en-GB"/>
        </w:rPr>
        <w:t xml:space="preserve">energy system is </w:t>
      </w:r>
      <w:r w:rsidRPr="00B2514F">
        <w:rPr>
          <w:rFonts w:asciiTheme="minorHAnsi" w:eastAsia="Times New Roman" w:hAnsiTheme="minorHAnsi"/>
          <w:lang w:eastAsia="en-GB"/>
        </w:rPr>
        <w:t xml:space="preserve">also </w:t>
      </w:r>
      <w:r w:rsidR="0050646C" w:rsidRPr="00B2514F">
        <w:rPr>
          <w:rFonts w:asciiTheme="minorHAnsi" w:eastAsia="Times New Roman" w:hAnsiTheme="minorHAnsi"/>
          <w:lang w:eastAsia="en-GB"/>
        </w:rPr>
        <w:t>undergoing a broad reorientation toward low-carbon energy and efficiency</w:t>
      </w:r>
      <w:r w:rsidR="00242721" w:rsidRPr="00B2514F">
        <w:rPr>
          <w:rFonts w:asciiTheme="minorHAnsi" w:eastAsia="Times New Roman" w:hAnsiTheme="minorHAnsi"/>
          <w:lang w:eastAsia="en-GB"/>
        </w:rPr>
        <w:t>, according to the</w:t>
      </w:r>
      <w:r w:rsidR="00577F4B" w:rsidRPr="00B2514F">
        <w:rPr>
          <w:rFonts w:asciiTheme="minorHAnsi" w:eastAsia="Times New Roman" w:hAnsiTheme="minorHAnsi"/>
          <w:lang w:eastAsia="en-GB"/>
        </w:rPr>
        <w:t xml:space="preserve"> IEA’s recently released</w:t>
      </w:r>
      <w:r w:rsidR="00806302" w:rsidRPr="00B2514F">
        <w:rPr>
          <w:rFonts w:asciiTheme="minorHAnsi" w:eastAsia="Times New Roman" w:hAnsiTheme="minorHAnsi"/>
          <w:lang w:eastAsia="en-GB"/>
        </w:rPr>
        <w:t xml:space="preserve"> </w:t>
      </w:r>
      <w:hyperlink r:id="rId12" w:history="1">
        <w:r w:rsidR="00806302" w:rsidRPr="00B2514F">
          <w:rPr>
            <w:rFonts w:asciiTheme="minorHAnsi" w:eastAsia="Times New Roman" w:hAnsiTheme="minorHAnsi"/>
            <w:i/>
            <w:iCs/>
            <w:lang w:eastAsia="en-GB"/>
          </w:rPr>
          <w:t>World Energy Investment 2016</w:t>
        </w:r>
      </w:hyperlink>
      <w:r w:rsidR="00806302" w:rsidRPr="00B2514F">
        <w:rPr>
          <w:rFonts w:asciiTheme="minorHAnsi" w:eastAsia="Times New Roman" w:hAnsiTheme="minorHAnsi"/>
          <w:lang w:eastAsia="en-GB"/>
        </w:rPr>
        <w:t xml:space="preserve"> report. </w:t>
      </w:r>
      <w:r w:rsidR="00242721" w:rsidRPr="00B2514F">
        <w:rPr>
          <w:rFonts w:asciiTheme="minorHAnsi" w:eastAsia="Times New Roman" w:hAnsiTheme="minorHAnsi"/>
          <w:lang w:eastAsia="en-GB"/>
        </w:rPr>
        <w:t xml:space="preserve"> </w:t>
      </w:r>
    </w:p>
    <w:p w:rsidR="00E63EE8" w:rsidRPr="00B2514F" w:rsidRDefault="00E63EE8" w:rsidP="00E63EE8">
      <w:pPr>
        <w:spacing w:after="100" w:afterAutospacing="1" w:line="240" w:lineRule="auto"/>
        <w:jc w:val="both"/>
      </w:pPr>
      <w:r w:rsidRPr="00B2514F">
        <w:rPr>
          <w:rFonts w:asciiTheme="minorHAnsi" w:eastAsia="Times New Roman" w:hAnsiTheme="minorHAnsi"/>
          <w:lang w:eastAsia="en-GB"/>
        </w:rPr>
        <w:t>I</w:t>
      </w:r>
      <w:r w:rsidR="0050646C" w:rsidRPr="00B2514F">
        <w:rPr>
          <w:rFonts w:asciiTheme="minorHAnsi" w:eastAsia="Times New Roman" w:hAnsiTheme="minorHAnsi"/>
          <w:lang w:eastAsia="en-GB"/>
        </w:rPr>
        <w:t>nvestment in key clean energy technologies needs to be further ramped up to put the world economy on track for climate stabilisation.</w:t>
      </w:r>
      <w:r w:rsidRPr="00B2514F">
        <w:rPr>
          <w:rFonts w:asciiTheme="minorHAnsi" w:eastAsia="Times New Roman" w:hAnsiTheme="minorHAnsi"/>
          <w:lang w:eastAsia="en-GB"/>
        </w:rPr>
        <w:t xml:space="preserve"> It also shows that government policies are </w:t>
      </w:r>
      <w:proofErr w:type="gramStart"/>
      <w:r w:rsidRPr="00B2514F">
        <w:rPr>
          <w:rFonts w:asciiTheme="minorHAnsi" w:eastAsia="Times New Roman" w:hAnsiTheme="minorHAnsi"/>
          <w:lang w:eastAsia="en-GB"/>
        </w:rPr>
        <w:t>key</w:t>
      </w:r>
      <w:proofErr w:type="gramEnd"/>
      <w:r w:rsidRPr="00B2514F">
        <w:rPr>
          <w:rFonts w:asciiTheme="minorHAnsi" w:eastAsia="Times New Roman" w:hAnsiTheme="minorHAnsi"/>
          <w:lang w:eastAsia="en-GB"/>
        </w:rPr>
        <w:t xml:space="preserve"> to a successful energy transition. </w:t>
      </w:r>
      <w:r w:rsidR="00746C0A" w:rsidRPr="00B2514F">
        <w:rPr>
          <w:rFonts w:asciiTheme="minorHAnsi" w:eastAsia="Times New Roman" w:hAnsiTheme="minorHAnsi"/>
          <w:lang w:eastAsia="en-GB"/>
        </w:rPr>
        <w:t>W</w:t>
      </w:r>
      <w:r w:rsidRPr="00B2514F">
        <w:rPr>
          <w:rFonts w:asciiTheme="minorHAnsi" w:eastAsia="Times New Roman" w:hAnsiTheme="minorHAnsi"/>
          <w:lang w:eastAsia="en-GB"/>
        </w:rPr>
        <w:t xml:space="preserve">hile some progress has been achieved, investors need clarity and certainty from policy makers. </w:t>
      </w:r>
    </w:p>
    <w:p w:rsidR="00A628AE" w:rsidRPr="00B2514F" w:rsidRDefault="0050646C" w:rsidP="00B2514F">
      <w:pPr>
        <w:autoSpaceDE w:val="0"/>
        <w:autoSpaceDN w:val="0"/>
        <w:adjustRightInd w:val="0"/>
        <w:spacing w:after="0" w:line="240" w:lineRule="auto"/>
        <w:jc w:val="both"/>
        <w:rPr>
          <w:rFonts w:asciiTheme="minorHAnsi" w:hAnsiTheme="minorHAnsi" w:cs="Calibri"/>
          <w:lang w:eastAsia="en-GB"/>
        </w:rPr>
      </w:pPr>
      <w:r w:rsidRPr="00B2514F">
        <w:t>G</w:t>
      </w:r>
      <w:r w:rsidR="00A628AE" w:rsidRPr="00B2514F">
        <w:rPr>
          <w:rFonts w:asciiTheme="minorHAnsi" w:eastAsia="Times New Roman" w:hAnsiTheme="minorHAnsi"/>
          <w:lang w:eastAsia="en-GB"/>
        </w:rPr>
        <w:t>l</w:t>
      </w:r>
      <w:r w:rsidR="00A628AE" w:rsidRPr="00B2514F">
        <w:rPr>
          <w:rFonts w:asciiTheme="minorHAnsi" w:hAnsiTheme="minorHAnsi" w:cs="Calibri-Bold"/>
          <w:bCs/>
          <w:lang w:eastAsia="en-GB"/>
        </w:rPr>
        <w:t>obal energy investment amounted to USD 1.8 trillion in 2015, making up 2.4% of global GDP.</w:t>
      </w:r>
      <w:r w:rsidR="00A628AE" w:rsidRPr="00B2514F">
        <w:rPr>
          <w:rFonts w:asciiTheme="minorHAnsi" w:hAnsiTheme="minorHAnsi" w:cs="Calibri-Bold"/>
          <w:b/>
          <w:bCs/>
          <w:lang w:eastAsia="en-GB"/>
        </w:rPr>
        <w:t xml:space="preserve"> </w:t>
      </w:r>
      <w:r w:rsidR="00A628AE" w:rsidRPr="00B2514F">
        <w:rPr>
          <w:rFonts w:asciiTheme="minorHAnsi" w:hAnsiTheme="minorHAnsi" w:cs="Calibri"/>
          <w:lang w:eastAsia="en-GB"/>
        </w:rPr>
        <w:t>Investment in real dollar terms was 8% lower than in 2014, mainly</w:t>
      </w:r>
      <w:r w:rsidR="00A628AE" w:rsidRPr="00B2514F">
        <w:rPr>
          <w:rFonts w:asciiTheme="minorHAnsi" w:hAnsiTheme="minorHAnsi" w:cs="Calibri-Bold"/>
          <w:bCs/>
          <w:lang w:eastAsia="en-GB"/>
        </w:rPr>
        <w:t xml:space="preserve"> </w:t>
      </w:r>
      <w:r w:rsidR="00A628AE" w:rsidRPr="00B2514F">
        <w:rPr>
          <w:rFonts w:asciiTheme="minorHAnsi" w:hAnsiTheme="minorHAnsi" w:cs="Calibri"/>
          <w:lang w:eastAsia="en-GB"/>
        </w:rPr>
        <w:t>due to a 25% fall in capital spending in upstream oil and gas.</w:t>
      </w:r>
    </w:p>
    <w:p w:rsidR="003D0F0A" w:rsidRPr="00B2514F" w:rsidRDefault="003D0F0A" w:rsidP="00B2514F">
      <w:pPr>
        <w:autoSpaceDE w:val="0"/>
        <w:autoSpaceDN w:val="0"/>
        <w:adjustRightInd w:val="0"/>
        <w:spacing w:after="0" w:line="240" w:lineRule="auto"/>
        <w:jc w:val="both"/>
        <w:rPr>
          <w:rFonts w:asciiTheme="minorHAnsi" w:hAnsiTheme="minorHAnsi" w:cs="Calibri"/>
          <w:lang w:eastAsia="en-GB"/>
        </w:rPr>
      </w:pPr>
    </w:p>
    <w:p w:rsidR="003D0F0A" w:rsidRPr="00087A32" w:rsidRDefault="003D0F0A" w:rsidP="00B2514F">
      <w:pPr>
        <w:autoSpaceDE w:val="0"/>
        <w:autoSpaceDN w:val="0"/>
        <w:adjustRightInd w:val="0"/>
        <w:spacing w:after="0" w:line="240" w:lineRule="auto"/>
        <w:jc w:val="both"/>
        <w:rPr>
          <w:rFonts w:asciiTheme="minorHAnsi" w:hAnsiTheme="minorHAnsi" w:cs="Calibri"/>
          <w:sz w:val="20"/>
          <w:lang w:eastAsia="en-GB"/>
        </w:rPr>
      </w:pPr>
    </w:p>
    <w:p w:rsidR="003D0F0A" w:rsidRPr="00087A32" w:rsidRDefault="00087A32" w:rsidP="00B2514F">
      <w:pPr>
        <w:autoSpaceDE w:val="0"/>
        <w:autoSpaceDN w:val="0"/>
        <w:adjustRightInd w:val="0"/>
        <w:spacing w:after="0" w:line="240" w:lineRule="auto"/>
        <w:jc w:val="center"/>
        <w:rPr>
          <w:rFonts w:asciiTheme="minorHAnsi" w:hAnsiTheme="minorHAnsi" w:cs="Calibri"/>
          <w:b/>
          <w:sz w:val="20"/>
          <w:lang w:eastAsia="en-GB"/>
        </w:rPr>
      </w:pPr>
      <w:r w:rsidRPr="00087A32">
        <w:rPr>
          <w:rFonts w:asciiTheme="minorHAnsi" w:hAnsiTheme="minorHAnsi"/>
          <w:b/>
          <w:sz w:val="20"/>
        </w:rPr>
        <w:t xml:space="preserve">Figure 5: </w:t>
      </w:r>
      <w:r w:rsidR="003D0F0A" w:rsidRPr="00087A32">
        <w:rPr>
          <w:rFonts w:asciiTheme="minorHAnsi" w:hAnsiTheme="minorHAnsi"/>
          <w:b/>
          <w:sz w:val="20"/>
        </w:rPr>
        <w:t>Global investment in energy supply over time</w:t>
      </w:r>
    </w:p>
    <w:p w:rsidR="003D0F0A" w:rsidRPr="00B2514F" w:rsidRDefault="003D0F0A" w:rsidP="00B2514F">
      <w:pPr>
        <w:autoSpaceDE w:val="0"/>
        <w:autoSpaceDN w:val="0"/>
        <w:adjustRightInd w:val="0"/>
        <w:spacing w:after="0" w:line="240" w:lineRule="auto"/>
        <w:jc w:val="both"/>
        <w:rPr>
          <w:rFonts w:asciiTheme="minorHAnsi" w:hAnsiTheme="minorHAnsi" w:cs="Calibri"/>
          <w:lang w:eastAsia="en-GB"/>
        </w:rPr>
      </w:pPr>
    </w:p>
    <w:p w:rsidR="003D0F0A" w:rsidRPr="00B2514F" w:rsidRDefault="003D0F0A" w:rsidP="00B2514F">
      <w:pPr>
        <w:autoSpaceDE w:val="0"/>
        <w:autoSpaceDN w:val="0"/>
        <w:adjustRightInd w:val="0"/>
        <w:spacing w:after="0" w:line="240" w:lineRule="auto"/>
        <w:jc w:val="both"/>
        <w:rPr>
          <w:rFonts w:asciiTheme="minorHAnsi" w:hAnsiTheme="minorHAnsi" w:cs="Calibri"/>
          <w:lang w:eastAsia="en-GB"/>
        </w:rPr>
      </w:pPr>
    </w:p>
    <w:p w:rsidR="003D0F0A" w:rsidRPr="00B2514F" w:rsidRDefault="003D0F0A" w:rsidP="00B2514F">
      <w:pPr>
        <w:autoSpaceDE w:val="0"/>
        <w:autoSpaceDN w:val="0"/>
        <w:adjustRightInd w:val="0"/>
        <w:spacing w:after="0" w:line="240" w:lineRule="auto"/>
        <w:jc w:val="both"/>
        <w:rPr>
          <w:rFonts w:asciiTheme="minorHAnsi" w:hAnsiTheme="minorHAnsi" w:cs="Calibri"/>
          <w:lang w:eastAsia="en-GB"/>
        </w:rPr>
      </w:pPr>
      <w:r w:rsidRPr="00B2514F">
        <w:rPr>
          <w:noProof/>
          <w:lang w:eastAsia="en-GB"/>
        </w:rPr>
        <w:drawing>
          <wp:inline distT="0" distB="0" distL="0" distR="0" wp14:anchorId="4FBB1F45" wp14:editId="58AB7F98">
            <wp:extent cx="5501031" cy="2874872"/>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4185" cy="2876521"/>
                    </a:xfrm>
                    <a:prstGeom prst="rect">
                      <a:avLst/>
                    </a:prstGeom>
                    <a:noFill/>
                    <a:ln>
                      <a:noFill/>
                    </a:ln>
                  </pic:spPr>
                </pic:pic>
              </a:graphicData>
            </a:graphic>
          </wp:inline>
        </w:drawing>
      </w:r>
    </w:p>
    <w:p w:rsidR="003D0F0A" w:rsidRPr="00B2514F" w:rsidRDefault="003D0F0A" w:rsidP="00B2514F">
      <w:r w:rsidRPr="00B2514F">
        <w:rPr>
          <w:b/>
          <w:i/>
          <w:color w:val="548DD4" w:themeColor="text2" w:themeTint="99"/>
          <w:sz w:val="20"/>
          <w:szCs w:val="20"/>
        </w:rPr>
        <w:t>Source: World Energy Investment 2016</w:t>
      </w:r>
    </w:p>
    <w:p w:rsidR="003D0F0A" w:rsidRPr="00B2514F" w:rsidRDefault="003D0F0A" w:rsidP="00B2514F">
      <w:pPr>
        <w:autoSpaceDE w:val="0"/>
        <w:autoSpaceDN w:val="0"/>
        <w:adjustRightInd w:val="0"/>
        <w:spacing w:after="0" w:line="240" w:lineRule="auto"/>
        <w:jc w:val="both"/>
        <w:rPr>
          <w:rFonts w:asciiTheme="minorHAnsi" w:hAnsiTheme="minorHAnsi" w:cs="Calibri-Bold"/>
          <w:bCs/>
          <w:lang w:eastAsia="en-GB"/>
        </w:rPr>
      </w:pPr>
    </w:p>
    <w:p w:rsidR="00242721" w:rsidRPr="00B2514F" w:rsidRDefault="00242721" w:rsidP="00B2514F">
      <w:pPr>
        <w:autoSpaceDE w:val="0"/>
        <w:autoSpaceDN w:val="0"/>
        <w:adjustRightInd w:val="0"/>
        <w:spacing w:after="0" w:line="240" w:lineRule="auto"/>
        <w:jc w:val="both"/>
        <w:rPr>
          <w:rFonts w:cs="Calibri"/>
          <w:lang w:eastAsia="en-GB"/>
        </w:rPr>
      </w:pPr>
      <w:r w:rsidRPr="00B2514F">
        <w:rPr>
          <w:rFonts w:asciiTheme="minorHAnsi" w:hAnsiTheme="minorHAnsi" w:cs="Calibri-Bold"/>
          <w:bCs/>
          <w:lang w:eastAsia="en-GB"/>
        </w:rPr>
        <w:t>The oil and gas sector remained by far the largest recipient of investment, accounting for 45% of total energy investment.</w:t>
      </w:r>
      <w:r w:rsidRPr="00B2514F">
        <w:rPr>
          <w:rFonts w:ascii="Calibri-Bold" w:hAnsi="Calibri-Bold" w:cs="Calibri-Bold"/>
          <w:b/>
          <w:bCs/>
          <w:lang w:eastAsia="en-GB"/>
        </w:rPr>
        <w:t xml:space="preserve"> </w:t>
      </w:r>
      <w:r w:rsidRPr="00B2514F">
        <w:rPr>
          <w:rFonts w:cs="Calibri"/>
          <w:lang w:eastAsia="en-GB"/>
        </w:rPr>
        <w:t>The upstream sector alone</w:t>
      </w:r>
      <w:r w:rsidRPr="00B2514F">
        <w:rPr>
          <w:rFonts w:asciiTheme="minorHAnsi" w:hAnsiTheme="minorHAnsi" w:cs="Calibri-Bold"/>
          <w:bCs/>
          <w:lang w:eastAsia="en-GB"/>
        </w:rPr>
        <w:t xml:space="preserve"> </w:t>
      </w:r>
      <w:r w:rsidRPr="00B2514F">
        <w:rPr>
          <w:rFonts w:cs="Calibri"/>
          <w:lang w:eastAsia="en-GB"/>
        </w:rPr>
        <w:t>absorbed more than USD 580 billion – almost one-third of the total – and the rest of oil and gas sector USD 250 billion, or 14%. Coal mining and infrastructure investment was USD 70 billion, or 4%.</w:t>
      </w:r>
    </w:p>
    <w:p w:rsidR="003D0F0A" w:rsidRPr="00B2514F" w:rsidRDefault="003D0F0A" w:rsidP="00B2514F">
      <w:pPr>
        <w:autoSpaceDE w:val="0"/>
        <w:autoSpaceDN w:val="0"/>
        <w:adjustRightInd w:val="0"/>
        <w:spacing w:after="0" w:line="240" w:lineRule="auto"/>
        <w:jc w:val="both"/>
        <w:rPr>
          <w:rFonts w:cs="Calibri"/>
          <w:lang w:eastAsia="en-GB"/>
        </w:rPr>
      </w:pPr>
    </w:p>
    <w:p w:rsidR="003D0F0A" w:rsidRPr="00B2514F" w:rsidRDefault="003D0F0A" w:rsidP="003D0F0A">
      <w:pPr>
        <w:autoSpaceDE w:val="0"/>
        <w:autoSpaceDN w:val="0"/>
        <w:adjustRightInd w:val="0"/>
        <w:spacing w:after="0" w:line="240" w:lineRule="auto"/>
        <w:jc w:val="both"/>
        <w:rPr>
          <w:rFonts w:cs="Calibri"/>
          <w:lang w:eastAsia="en-GB"/>
        </w:rPr>
      </w:pPr>
      <w:r w:rsidRPr="00B2514F">
        <w:rPr>
          <w:rFonts w:asciiTheme="minorHAnsi" w:hAnsiTheme="minorHAnsi" w:cs="Calibri-Bold"/>
          <w:bCs/>
          <w:lang w:eastAsia="en-GB"/>
        </w:rPr>
        <w:t>Investment costs in 2015 declined across the energy spectrum, heavily in some cases, moderating the impact from capacity additions</w:t>
      </w:r>
      <w:r w:rsidRPr="00B2514F">
        <w:rPr>
          <w:rFonts w:asciiTheme="minorHAnsi" w:hAnsiTheme="minorHAnsi" w:cs="Calibri"/>
          <w:lang w:eastAsia="en-GB"/>
        </w:rPr>
        <w:t>.</w:t>
      </w:r>
      <w:r w:rsidRPr="00B2514F">
        <w:rPr>
          <w:rFonts w:cs="Calibri"/>
          <w:lang w:eastAsia="en-GB"/>
        </w:rPr>
        <w:t xml:space="preserve"> </w:t>
      </w:r>
    </w:p>
    <w:p w:rsidR="00577F4B" w:rsidRPr="00B2514F" w:rsidRDefault="00577F4B" w:rsidP="003D0F0A">
      <w:pPr>
        <w:autoSpaceDE w:val="0"/>
        <w:autoSpaceDN w:val="0"/>
        <w:adjustRightInd w:val="0"/>
        <w:spacing w:after="0" w:line="240" w:lineRule="auto"/>
        <w:jc w:val="both"/>
        <w:rPr>
          <w:rFonts w:cs="Calibri"/>
          <w:lang w:eastAsia="en-GB"/>
        </w:rPr>
      </w:pPr>
    </w:p>
    <w:p w:rsidR="00577F4B" w:rsidRPr="00B2514F" w:rsidRDefault="00577F4B" w:rsidP="003D0F0A">
      <w:pPr>
        <w:autoSpaceDE w:val="0"/>
        <w:autoSpaceDN w:val="0"/>
        <w:adjustRightInd w:val="0"/>
        <w:spacing w:after="0" w:line="240" w:lineRule="auto"/>
        <w:jc w:val="both"/>
        <w:rPr>
          <w:rFonts w:asciiTheme="minorHAnsi" w:hAnsiTheme="minorHAnsi" w:cs="Calibri-Bold"/>
          <w:bCs/>
          <w:lang w:eastAsia="en-GB"/>
        </w:rPr>
      </w:pPr>
      <w:r w:rsidRPr="00B2514F">
        <w:rPr>
          <w:rFonts w:asciiTheme="minorHAnsi" w:hAnsiTheme="minorHAnsi" w:cs="Calibri-Bold"/>
          <w:bCs/>
          <w:lang w:eastAsia="en-GB"/>
        </w:rPr>
        <w:lastRenderedPageBreak/>
        <w:t>One of the most significant facts of the past two years is the decline in global upstream investment, which fell dramatically following the oil price collapse in the second half of 2014. The drop amounted to 25% in 2015 and 24% in 2016 based on current plans. The total fall exceed</w:t>
      </w:r>
      <w:r w:rsidR="00746C0A" w:rsidRPr="00B2514F">
        <w:rPr>
          <w:rFonts w:asciiTheme="minorHAnsi" w:hAnsiTheme="minorHAnsi" w:cs="Calibri-Bold"/>
          <w:bCs/>
          <w:lang w:eastAsia="en-GB"/>
        </w:rPr>
        <w:t>ed</w:t>
      </w:r>
      <w:r w:rsidRPr="00B2514F">
        <w:rPr>
          <w:rFonts w:asciiTheme="minorHAnsi" w:hAnsiTheme="minorHAnsi" w:cs="Calibri-Bold"/>
          <w:bCs/>
          <w:lang w:eastAsia="en-GB"/>
        </w:rPr>
        <w:t xml:space="preserve"> USD 300 billion over the two years – an unprecedented decline. In fact, it’s the first time i</w:t>
      </w:r>
      <w:r w:rsidR="00746C0A" w:rsidRPr="00B2514F">
        <w:rPr>
          <w:rFonts w:asciiTheme="minorHAnsi" w:hAnsiTheme="minorHAnsi" w:cs="Calibri-Bold"/>
          <w:bCs/>
          <w:lang w:eastAsia="en-GB"/>
        </w:rPr>
        <w:t>n 40 years that the industry</w:t>
      </w:r>
      <w:r w:rsidRPr="00B2514F">
        <w:rPr>
          <w:rFonts w:asciiTheme="minorHAnsi" w:hAnsiTheme="minorHAnsi" w:cs="Calibri-Bold"/>
          <w:bCs/>
          <w:lang w:eastAsia="en-GB"/>
        </w:rPr>
        <w:t xml:space="preserve"> experienced two consecutive years of reduced upstream spending. </w:t>
      </w:r>
    </w:p>
    <w:p w:rsidR="00746C0A" w:rsidRPr="00B2514F" w:rsidRDefault="00746C0A" w:rsidP="003D0F0A">
      <w:pPr>
        <w:autoSpaceDE w:val="0"/>
        <w:autoSpaceDN w:val="0"/>
        <w:adjustRightInd w:val="0"/>
        <w:spacing w:after="0" w:line="240" w:lineRule="auto"/>
        <w:jc w:val="both"/>
        <w:rPr>
          <w:rFonts w:asciiTheme="minorHAnsi" w:hAnsiTheme="minorHAnsi" w:cs="Calibri-Bold"/>
          <w:bCs/>
          <w:lang w:eastAsia="en-GB"/>
        </w:rPr>
      </w:pPr>
    </w:p>
    <w:p w:rsidR="00577F4B" w:rsidRPr="00B2514F" w:rsidRDefault="00577F4B" w:rsidP="003D0F0A">
      <w:pPr>
        <w:autoSpaceDE w:val="0"/>
        <w:autoSpaceDN w:val="0"/>
        <w:adjustRightInd w:val="0"/>
        <w:spacing w:after="0" w:line="240" w:lineRule="auto"/>
        <w:jc w:val="both"/>
        <w:rPr>
          <w:rFonts w:asciiTheme="minorHAnsi" w:hAnsiTheme="minorHAnsi" w:cs="Calibri-Bold"/>
          <w:bCs/>
          <w:lang w:eastAsia="en-GB"/>
        </w:rPr>
      </w:pPr>
      <w:r w:rsidRPr="00B2514F">
        <w:rPr>
          <w:rFonts w:asciiTheme="minorHAnsi" w:hAnsiTheme="minorHAnsi" w:cs="Calibri-Bold"/>
          <w:bCs/>
          <w:lang w:eastAsia="en-GB"/>
        </w:rPr>
        <w:t xml:space="preserve">And there are no signs that companies plan to increase their upstream capital spending in 2017. Many operators revised </w:t>
      </w:r>
      <w:r w:rsidR="00746C0A" w:rsidRPr="00B2514F">
        <w:rPr>
          <w:rFonts w:asciiTheme="minorHAnsi" w:hAnsiTheme="minorHAnsi" w:cs="Calibri-Bold"/>
          <w:bCs/>
          <w:lang w:eastAsia="en-GB"/>
        </w:rPr>
        <w:t xml:space="preserve">their </w:t>
      </w:r>
      <w:r w:rsidRPr="00B2514F">
        <w:rPr>
          <w:rFonts w:asciiTheme="minorHAnsi" w:hAnsiTheme="minorHAnsi" w:cs="Calibri-Bold"/>
          <w:bCs/>
          <w:lang w:eastAsia="en-GB"/>
        </w:rPr>
        <w:t xml:space="preserve">2016 capital spending </w:t>
      </w:r>
      <w:r w:rsidR="00746C0A" w:rsidRPr="00B2514F">
        <w:rPr>
          <w:rFonts w:asciiTheme="minorHAnsi" w:hAnsiTheme="minorHAnsi" w:cs="Calibri-Bold"/>
          <w:bCs/>
          <w:lang w:eastAsia="en-GB"/>
        </w:rPr>
        <w:t>guidance throughout the year. A</w:t>
      </w:r>
      <w:r w:rsidRPr="00B2514F">
        <w:rPr>
          <w:rFonts w:asciiTheme="minorHAnsi" w:hAnsiTheme="minorHAnsi" w:cs="Calibri-Bold"/>
          <w:bCs/>
          <w:lang w:eastAsia="en-GB"/>
        </w:rPr>
        <w:t>s of September 2016, they plan</w:t>
      </w:r>
      <w:r w:rsidR="00746C0A" w:rsidRPr="00B2514F">
        <w:rPr>
          <w:rFonts w:asciiTheme="minorHAnsi" w:hAnsiTheme="minorHAnsi" w:cs="Calibri-Bold"/>
          <w:bCs/>
          <w:lang w:eastAsia="en-GB"/>
        </w:rPr>
        <w:t>ned</w:t>
      </w:r>
      <w:r w:rsidRPr="00B2514F">
        <w:rPr>
          <w:rFonts w:asciiTheme="minorHAnsi" w:hAnsiTheme="minorHAnsi" w:cs="Calibri-Bold"/>
          <w:bCs/>
          <w:lang w:eastAsia="en-GB"/>
        </w:rPr>
        <w:t xml:space="preserve"> to maintain </w:t>
      </w:r>
      <w:r w:rsidR="00746C0A" w:rsidRPr="00B2514F">
        <w:rPr>
          <w:rFonts w:asciiTheme="minorHAnsi" w:hAnsiTheme="minorHAnsi" w:cs="Calibri-Bold"/>
          <w:bCs/>
          <w:lang w:eastAsia="en-GB"/>
        </w:rPr>
        <w:t xml:space="preserve">or even lower their </w:t>
      </w:r>
      <w:r w:rsidRPr="00B2514F">
        <w:rPr>
          <w:rFonts w:asciiTheme="minorHAnsi" w:hAnsiTheme="minorHAnsi" w:cs="Calibri-Bold"/>
          <w:bCs/>
          <w:lang w:eastAsia="en-GB"/>
        </w:rPr>
        <w:t xml:space="preserve">2017 investment </w:t>
      </w:r>
      <w:r w:rsidR="00746C0A" w:rsidRPr="00B2514F">
        <w:rPr>
          <w:rFonts w:asciiTheme="minorHAnsi" w:hAnsiTheme="minorHAnsi" w:cs="Calibri-Bold"/>
          <w:bCs/>
          <w:lang w:eastAsia="en-GB"/>
        </w:rPr>
        <w:t xml:space="preserve">compared with </w:t>
      </w:r>
      <w:r w:rsidRPr="00B2514F">
        <w:rPr>
          <w:rFonts w:asciiTheme="minorHAnsi" w:hAnsiTheme="minorHAnsi" w:cs="Calibri-Bold"/>
          <w:bCs/>
          <w:lang w:eastAsia="en-GB"/>
        </w:rPr>
        <w:t xml:space="preserve">2016 </w:t>
      </w:r>
      <w:r w:rsidR="00746C0A" w:rsidRPr="00B2514F">
        <w:rPr>
          <w:rFonts w:asciiTheme="minorHAnsi" w:hAnsiTheme="minorHAnsi" w:cs="Calibri-Bold"/>
          <w:bCs/>
          <w:lang w:eastAsia="en-GB"/>
        </w:rPr>
        <w:t>as they take</w:t>
      </w:r>
      <w:r w:rsidRPr="00B2514F">
        <w:rPr>
          <w:rFonts w:asciiTheme="minorHAnsi" w:hAnsiTheme="minorHAnsi" w:cs="Calibri-Bold"/>
          <w:bCs/>
          <w:lang w:eastAsia="en-GB"/>
        </w:rPr>
        <w:t xml:space="preserve"> advantage of the sector’s </w:t>
      </w:r>
      <w:r w:rsidR="00746C0A" w:rsidRPr="00B2514F">
        <w:rPr>
          <w:rFonts w:asciiTheme="minorHAnsi" w:hAnsiTheme="minorHAnsi" w:cs="Calibri-Bold"/>
          <w:bCs/>
          <w:lang w:eastAsia="en-GB"/>
        </w:rPr>
        <w:t xml:space="preserve">declining costs </w:t>
      </w:r>
      <w:r w:rsidRPr="00B2514F">
        <w:rPr>
          <w:rFonts w:asciiTheme="minorHAnsi" w:hAnsiTheme="minorHAnsi" w:cs="Calibri-Bold"/>
          <w:bCs/>
          <w:lang w:eastAsia="en-GB"/>
        </w:rPr>
        <w:t xml:space="preserve">and </w:t>
      </w:r>
      <w:r w:rsidR="00746C0A" w:rsidRPr="00B2514F">
        <w:rPr>
          <w:rFonts w:asciiTheme="minorHAnsi" w:hAnsiTheme="minorHAnsi" w:cs="Calibri-Bold"/>
          <w:bCs/>
          <w:lang w:eastAsia="en-GB"/>
        </w:rPr>
        <w:t xml:space="preserve">gains in </w:t>
      </w:r>
      <w:r w:rsidRPr="00B2514F">
        <w:rPr>
          <w:rFonts w:asciiTheme="minorHAnsi" w:hAnsiTheme="minorHAnsi" w:cs="Calibri-Bold"/>
          <w:bCs/>
          <w:lang w:eastAsia="en-GB"/>
        </w:rPr>
        <w:t>efficiency.</w:t>
      </w:r>
    </w:p>
    <w:p w:rsidR="003D0F0A" w:rsidRPr="00B2514F" w:rsidRDefault="003D0F0A" w:rsidP="00B2514F">
      <w:pPr>
        <w:autoSpaceDE w:val="0"/>
        <w:autoSpaceDN w:val="0"/>
        <w:adjustRightInd w:val="0"/>
        <w:spacing w:after="0" w:line="240" w:lineRule="auto"/>
        <w:jc w:val="both"/>
        <w:rPr>
          <w:rFonts w:cs="Calibri"/>
          <w:lang w:eastAsia="en-GB"/>
        </w:rPr>
      </w:pPr>
    </w:p>
    <w:p w:rsidR="00AF5501" w:rsidRPr="00B2514F" w:rsidRDefault="00AF5501" w:rsidP="00AF5501">
      <w:pPr>
        <w:spacing w:after="0" w:line="240" w:lineRule="auto"/>
        <w:rPr>
          <w:rFonts w:asciiTheme="minorHAnsi" w:eastAsiaTheme="minorHAnsi" w:hAnsiTheme="minorHAnsi" w:cstheme="minorBidi"/>
          <w:b/>
        </w:rPr>
      </w:pPr>
    </w:p>
    <w:p w:rsidR="00F255F2" w:rsidRPr="00087A32" w:rsidRDefault="00087A32" w:rsidP="00B2514F">
      <w:pPr>
        <w:jc w:val="center"/>
        <w:rPr>
          <w:b/>
          <w:sz w:val="20"/>
          <w:lang w:val="en-US"/>
        </w:rPr>
      </w:pPr>
      <w:r w:rsidRPr="00087A32">
        <w:rPr>
          <w:b/>
          <w:sz w:val="20"/>
          <w:lang w:val="en-US"/>
        </w:rPr>
        <w:t xml:space="preserve">Figure 6: </w:t>
      </w:r>
      <w:r w:rsidR="00A628AE" w:rsidRPr="00087A32">
        <w:rPr>
          <w:b/>
          <w:sz w:val="20"/>
          <w:lang w:val="en-US"/>
        </w:rPr>
        <w:t>U</w:t>
      </w:r>
      <w:r w:rsidR="00F255F2" w:rsidRPr="00087A32">
        <w:rPr>
          <w:b/>
          <w:sz w:val="20"/>
          <w:lang w:val="en-US"/>
        </w:rPr>
        <w:t>pstream oil and gas investment 2010 - 2017</w:t>
      </w:r>
    </w:p>
    <w:p w:rsidR="006D0B20" w:rsidRPr="00B2514F" w:rsidRDefault="006D0B20" w:rsidP="006D0B20">
      <w:pPr>
        <w:keepNext/>
        <w:spacing w:after="100" w:afterAutospacing="1" w:line="240" w:lineRule="auto"/>
      </w:pPr>
      <w:r w:rsidRPr="00B2514F">
        <w:rPr>
          <w:rFonts w:asciiTheme="minorHAnsi" w:eastAsia="Times New Roman" w:hAnsiTheme="minorHAnsi"/>
          <w:noProof/>
          <w:lang w:eastAsia="en-GB"/>
        </w:rPr>
        <w:drawing>
          <wp:inline distT="0" distB="0" distL="0" distR="0" wp14:anchorId="6C079987" wp14:editId="7A99C66D">
            <wp:extent cx="4974336" cy="223113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4748" cy="2231321"/>
                    </a:xfrm>
                    <a:prstGeom prst="rect">
                      <a:avLst/>
                    </a:prstGeom>
                    <a:noFill/>
                    <a:ln>
                      <a:noFill/>
                    </a:ln>
                  </pic:spPr>
                </pic:pic>
              </a:graphicData>
            </a:graphic>
          </wp:inline>
        </w:drawing>
      </w:r>
    </w:p>
    <w:p w:rsidR="00F255F2" w:rsidRPr="00B2514F" w:rsidRDefault="00806302" w:rsidP="00391AAA">
      <w:pPr>
        <w:pStyle w:val="Caption"/>
        <w:rPr>
          <w:rFonts w:asciiTheme="minorHAnsi" w:eastAsia="Times New Roman" w:hAnsiTheme="minorHAnsi"/>
          <w:i/>
          <w:sz w:val="20"/>
          <w:szCs w:val="20"/>
          <w:lang w:val="en-US" w:eastAsia="en-GB"/>
        </w:rPr>
      </w:pPr>
      <w:r w:rsidRPr="00B2514F">
        <w:rPr>
          <w:i/>
          <w:sz w:val="20"/>
          <w:szCs w:val="20"/>
        </w:rPr>
        <w:t xml:space="preserve">Source: </w:t>
      </w:r>
      <w:r w:rsidR="006D0B20" w:rsidRPr="00B2514F">
        <w:rPr>
          <w:i/>
          <w:sz w:val="20"/>
          <w:szCs w:val="20"/>
        </w:rPr>
        <w:t>World Energy Investment 2016</w:t>
      </w:r>
    </w:p>
    <w:p w:rsidR="006D0B20" w:rsidRPr="00B2514F" w:rsidRDefault="006D0B20" w:rsidP="00862299">
      <w:pPr>
        <w:autoSpaceDE w:val="0"/>
        <w:autoSpaceDN w:val="0"/>
        <w:adjustRightInd w:val="0"/>
        <w:spacing w:after="0" w:line="240" w:lineRule="auto"/>
        <w:rPr>
          <w:rFonts w:asciiTheme="minorHAnsi" w:hAnsiTheme="minorHAnsi" w:cs="Calibri-Bold"/>
          <w:bCs/>
          <w:lang w:eastAsia="en-GB"/>
        </w:rPr>
      </w:pPr>
    </w:p>
    <w:p w:rsidR="004F27F3" w:rsidRPr="00B2514F" w:rsidRDefault="00746C0A" w:rsidP="00B2514F">
      <w:pPr>
        <w:autoSpaceDE w:val="0"/>
        <w:autoSpaceDN w:val="0"/>
        <w:adjustRightInd w:val="0"/>
        <w:spacing w:after="0" w:line="240" w:lineRule="auto"/>
        <w:jc w:val="both"/>
        <w:rPr>
          <w:rFonts w:cs="Calibri"/>
          <w:lang w:eastAsia="en-GB"/>
        </w:rPr>
      </w:pPr>
      <w:r w:rsidRPr="00B2514F">
        <w:rPr>
          <w:rFonts w:asciiTheme="minorHAnsi" w:hAnsiTheme="minorHAnsi" w:cs="Calibri-Bold"/>
          <w:bCs/>
          <w:lang w:eastAsia="en-GB"/>
        </w:rPr>
        <w:t>In fact,</w:t>
      </w:r>
      <w:r w:rsidR="00577F4B" w:rsidRPr="00B2514F">
        <w:rPr>
          <w:rFonts w:asciiTheme="minorHAnsi" w:hAnsiTheme="minorHAnsi" w:cs="Calibri-Bold"/>
          <w:bCs/>
          <w:lang w:eastAsia="en-GB"/>
        </w:rPr>
        <w:t xml:space="preserve"> </w:t>
      </w:r>
      <w:r w:rsidR="00114CF8" w:rsidRPr="00B2514F">
        <w:rPr>
          <w:rFonts w:cs="Calibri"/>
          <w:lang w:eastAsia="en-GB"/>
        </w:rPr>
        <w:t>costs</w:t>
      </w:r>
      <w:r w:rsidRPr="00B2514F">
        <w:rPr>
          <w:rFonts w:cs="Calibri"/>
          <w:lang w:eastAsia="en-GB"/>
        </w:rPr>
        <w:t xml:space="preserve"> in the upstream oil and gas sector</w:t>
      </w:r>
      <w:r w:rsidR="00114CF8" w:rsidRPr="00B2514F">
        <w:rPr>
          <w:rFonts w:cs="Calibri"/>
          <w:lang w:eastAsia="en-GB"/>
        </w:rPr>
        <w:t xml:space="preserve"> </w:t>
      </w:r>
      <w:r w:rsidR="00BA3047">
        <w:rPr>
          <w:rFonts w:cs="Calibri"/>
          <w:lang w:eastAsia="en-GB"/>
        </w:rPr>
        <w:t>fell</w:t>
      </w:r>
      <w:r w:rsidR="00862299" w:rsidRPr="00B2514F">
        <w:rPr>
          <w:rFonts w:cs="Calibri"/>
          <w:lang w:eastAsia="en-GB"/>
        </w:rPr>
        <w:t xml:space="preserve"> on average by 15%</w:t>
      </w:r>
      <w:r w:rsidRPr="00B2514F">
        <w:rPr>
          <w:rFonts w:cs="Calibri"/>
          <w:lang w:eastAsia="en-GB"/>
        </w:rPr>
        <w:t xml:space="preserve"> last year, </w:t>
      </w:r>
      <w:r w:rsidRPr="00B2514F">
        <w:rPr>
          <w:rFonts w:asciiTheme="minorHAnsi" w:hAnsiTheme="minorHAnsi" w:cs="Calibri-Bold"/>
          <w:bCs/>
          <w:lang w:eastAsia="en-GB"/>
        </w:rPr>
        <w:t xml:space="preserve">negating </w:t>
      </w:r>
      <w:proofErr w:type="gramStart"/>
      <w:r w:rsidRPr="00B2514F">
        <w:rPr>
          <w:rFonts w:asciiTheme="minorHAnsi" w:hAnsiTheme="minorHAnsi" w:cs="Calibri-Bold"/>
          <w:bCs/>
          <w:lang w:eastAsia="en-GB"/>
        </w:rPr>
        <w:t>some</w:t>
      </w:r>
      <w:proofErr w:type="gramEnd"/>
      <w:r w:rsidRPr="00B2514F">
        <w:rPr>
          <w:rFonts w:asciiTheme="minorHAnsi" w:hAnsiTheme="minorHAnsi" w:cs="Calibri-Bold"/>
          <w:bCs/>
          <w:lang w:eastAsia="en-GB"/>
        </w:rPr>
        <w:t xml:space="preserve"> of the decline in dollar spending</w:t>
      </w:r>
      <w:r w:rsidR="00114CF8" w:rsidRPr="00B2514F">
        <w:rPr>
          <w:rFonts w:cs="Calibri"/>
          <w:lang w:eastAsia="en-GB"/>
        </w:rPr>
        <w:t xml:space="preserve">. </w:t>
      </w:r>
      <w:r w:rsidR="00BA6EC6" w:rsidRPr="00B2514F">
        <w:rPr>
          <w:rFonts w:cs="Calibri"/>
          <w:lang w:eastAsia="en-GB"/>
        </w:rPr>
        <w:t>Initial data point to further cost deflation in 2016. Big differences in the pace of cost declines across sectors and technologies are reshaping inter-fuel competition.</w:t>
      </w:r>
      <w:r w:rsidRPr="00B2514F">
        <w:rPr>
          <w:rFonts w:cs="Calibri"/>
          <w:lang w:eastAsia="en-GB"/>
        </w:rPr>
        <w:t xml:space="preserve"> (C</w:t>
      </w:r>
      <w:r w:rsidR="00862299" w:rsidRPr="00B2514F">
        <w:rPr>
          <w:rFonts w:cs="Calibri"/>
          <w:lang w:eastAsia="en-GB"/>
        </w:rPr>
        <w:t>ost reductions</w:t>
      </w:r>
      <w:r w:rsidRPr="00B2514F">
        <w:rPr>
          <w:rFonts w:cs="Calibri"/>
          <w:lang w:eastAsia="en-GB"/>
        </w:rPr>
        <w:t xml:space="preserve"> in the renewable sector</w:t>
      </w:r>
      <w:r w:rsidR="00862299" w:rsidRPr="00B2514F">
        <w:rPr>
          <w:rFonts w:cs="Calibri"/>
          <w:lang w:eastAsia="en-GB"/>
        </w:rPr>
        <w:t xml:space="preserve"> were comparable though varied greatly by </w:t>
      </w:r>
      <w:r w:rsidR="00114CF8" w:rsidRPr="00B2514F">
        <w:rPr>
          <w:rFonts w:cs="Calibri"/>
          <w:lang w:eastAsia="en-GB"/>
        </w:rPr>
        <w:t>technology, with</w:t>
      </w:r>
      <w:r w:rsidR="00CF4C19" w:rsidRPr="00B2514F">
        <w:rPr>
          <w:rFonts w:cs="Calibri"/>
          <w:lang w:eastAsia="en-GB"/>
        </w:rPr>
        <w:t xml:space="preserve"> </w:t>
      </w:r>
      <w:r w:rsidR="00862299" w:rsidRPr="00B2514F">
        <w:rPr>
          <w:rFonts w:cs="Calibri"/>
          <w:lang w:eastAsia="en-GB"/>
        </w:rPr>
        <w:t xml:space="preserve">onshore wind costs falling 3% and utility solar photovoltaic costs by </w:t>
      </w:r>
      <w:proofErr w:type="gramStart"/>
      <w:r w:rsidR="00862299" w:rsidRPr="00B2514F">
        <w:rPr>
          <w:rFonts w:cs="Calibri"/>
          <w:lang w:eastAsia="en-GB"/>
        </w:rPr>
        <w:t>19%</w:t>
      </w:r>
      <w:proofErr w:type="gramEnd"/>
      <w:r w:rsidR="00862299" w:rsidRPr="00B2514F">
        <w:rPr>
          <w:rFonts w:cs="Calibri"/>
          <w:lang w:eastAsia="en-GB"/>
        </w:rPr>
        <w:t>.</w:t>
      </w:r>
      <w:r w:rsidRPr="00B2514F">
        <w:rPr>
          <w:rFonts w:cs="Calibri"/>
          <w:lang w:eastAsia="en-GB"/>
        </w:rPr>
        <w:t>)</w:t>
      </w:r>
      <w:r w:rsidR="00862299" w:rsidRPr="00B2514F">
        <w:rPr>
          <w:rFonts w:cs="Calibri"/>
          <w:lang w:eastAsia="en-GB"/>
        </w:rPr>
        <w:t xml:space="preserve"> </w:t>
      </w:r>
    </w:p>
    <w:p w:rsidR="004F27F3" w:rsidRPr="00B2514F" w:rsidRDefault="004F27F3" w:rsidP="00B2514F">
      <w:pPr>
        <w:autoSpaceDE w:val="0"/>
        <w:autoSpaceDN w:val="0"/>
        <w:adjustRightInd w:val="0"/>
        <w:spacing w:after="0" w:line="240" w:lineRule="auto"/>
        <w:jc w:val="both"/>
        <w:rPr>
          <w:rFonts w:cs="Calibri"/>
          <w:lang w:eastAsia="en-GB"/>
        </w:rPr>
      </w:pPr>
    </w:p>
    <w:p w:rsidR="00862299" w:rsidRPr="00B2514F" w:rsidRDefault="00862299" w:rsidP="00B2514F">
      <w:pPr>
        <w:autoSpaceDE w:val="0"/>
        <w:autoSpaceDN w:val="0"/>
        <w:adjustRightInd w:val="0"/>
        <w:spacing w:after="0" w:line="240" w:lineRule="auto"/>
        <w:jc w:val="both"/>
        <w:rPr>
          <w:rFonts w:asciiTheme="minorHAnsi" w:hAnsiTheme="minorHAnsi" w:cs="Calibri"/>
          <w:lang w:eastAsia="en-GB"/>
        </w:rPr>
      </w:pPr>
      <w:r w:rsidRPr="00B2514F">
        <w:rPr>
          <w:rFonts w:asciiTheme="minorHAnsi" w:hAnsiTheme="minorHAnsi" w:cs="Calibri-Bold"/>
          <w:bCs/>
          <w:lang w:eastAsia="en-GB"/>
        </w:rPr>
        <w:t xml:space="preserve">The vast majority of oil and gas upstream investment </w:t>
      </w:r>
      <w:r w:rsidR="00BA6EC6" w:rsidRPr="00B2514F">
        <w:rPr>
          <w:rFonts w:asciiTheme="minorHAnsi" w:hAnsiTheme="minorHAnsi" w:cs="Calibri-Bold"/>
          <w:bCs/>
          <w:lang w:eastAsia="en-GB"/>
        </w:rPr>
        <w:t xml:space="preserve">was </w:t>
      </w:r>
      <w:r w:rsidRPr="00B2514F">
        <w:rPr>
          <w:rFonts w:asciiTheme="minorHAnsi" w:hAnsiTheme="minorHAnsi" w:cs="Calibri-Bold"/>
          <w:bCs/>
          <w:lang w:eastAsia="en-GB"/>
        </w:rPr>
        <w:t>directed at replacing</w:t>
      </w:r>
      <w:r w:rsidR="009B2ACA" w:rsidRPr="00B2514F">
        <w:rPr>
          <w:rFonts w:asciiTheme="minorHAnsi" w:hAnsiTheme="minorHAnsi" w:cs="Calibri-Bold"/>
          <w:bCs/>
          <w:lang w:eastAsia="en-GB"/>
        </w:rPr>
        <w:t xml:space="preserve"> </w:t>
      </w:r>
      <w:r w:rsidRPr="00B2514F">
        <w:rPr>
          <w:rFonts w:asciiTheme="minorHAnsi" w:hAnsiTheme="minorHAnsi" w:cs="Calibri-Bold"/>
          <w:bCs/>
          <w:lang w:eastAsia="en-GB"/>
        </w:rPr>
        <w:t>natural production declines while almost 40% of electricity investment was</w:t>
      </w:r>
      <w:r w:rsidR="009B2ACA" w:rsidRPr="00B2514F">
        <w:rPr>
          <w:rFonts w:asciiTheme="minorHAnsi" w:hAnsiTheme="minorHAnsi" w:cs="Calibri-Bold"/>
          <w:bCs/>
          <w:lang w:eastAsia="en-GB"/>
        </w:rPr>
        <w:t xml:space="preserve"> </w:t>
      </w:r>
      <w:r w:rsidRPr="00B2514F">
        <w:rPr>
          <w:rFonts w:asciiTheme="minorHAnsi" w:hAnsiTheme="minorHAnsi" w:cs="Calibri-Bold"/>
          <w:bCs/>
          <w:lang w:eastAsia="en-GB"/>
        </w:rPr>
        <w:t>directed to the replacement of ageing assets</w:t>
      </w:r>
      <w:r w:rsidRPr="00B2514F">
        <w:rPr>
          <w:rFonts w:asciiTheme="minorHAnsi" w:hAnsiTheme="minorHAnsi" w:cs="Calibri"/>
          <w:lang w:eastAsia="en-GB"/>
        </w:rPr>
        <w:t>. As a result, the investment needed</w:t>
      </w:r>
      <w:r w:rsidR="009B2ACA" w:rsidRPr="00B2514F">
        <w:rPr>
          <w:rFonts w:asciiTheme="minorHAnsi" w:hAnsiTheme="minorHAnsi" w:cs="Calibri"/>
          <w:lang w:eastAsia="en-GB"/>
        </w:rPr>
        <w:t xml:space="preserve"> </w:t>
      </w:r>
      <w:r w:rsidRPr="00B2514F">
        <w:rPr>
          <w:rFonts w:asciiTheme="minorHAnsi" w:hAnsiTheme="minorHAnsi" w:cs="Calibri"/>
          <w:lang w:eastAsia="en-GB"/>
        </w:rPr>
        <w:t>to maintain supply security is only weakly affected by changes in demand growth.</w:t>
      </w:r>
    </w:p>
    <w:p w:rsidR="00D55EB8" w:rsidRPr="00B2514F" w:rsidRDefault="00D55EB8" w:rsidP="00B2514F">
      <w:pPr>
        <w:autoSpaceDE w:val="0"/>
        <w:autoSpaceDN w:val="0"/>
        <w:adjustRightInd w:val="0"/>
        <w:spacing w:after="0" w:line="240" w:lineRule="auto"/>
        <w:jc w:val="both"/>
        <w:rPr>
          <w:rFonts w:asciiTheme="minorHAnsi" w:hAnsiTheme="minorHAnsi" w:cs="Calibri"/>
          <w:lang w:eastAsia="en-GB"/>
        </w:rPr>
      </w:pPr>
    </w:p>
    <w:p w:rsidR="004F27F3" w:rsidRPr="00B2514F" w:rsidRDefault="004F27F3" w:rsidP="004F27F3">
      <w:pPr>
        <w:autoSpaceDE w:val="0"/>
        <w:autoSpaceDN w:val="0"/>
        <w:adjustRightInd w:val="0"/>
        <w:spacing w:after="0" w:line="240" w:lineRule="auto"/>
        <w:rPr>
          <w:rFonts w:asciiTheme="minorHAnsi" w:hAnsiTheme="minorHAnsi" w:cs="Calibri-Bold"/>
          <w:bCs/>
          <w:lang w:eastAsia="en-GB"/>
        </w:rPr>
      </w:pPr>
      <w:r w:rsidRPr="00B2514F">
        <w:rPr>
          <w:rFonts w:asciiTheme="minorHAnsi" w:hAnsiTheme="minorHAnsi" w:cs="Calibri-Bold"/>
          <w:bCs/>
          <w:lang w:eastAsia="en-GB"/>
        </w:rPr>
        <w:t>Investment in power generation totalled USD 420 billion, of which renewables accounted for nearly 70%</w:t>
      </w:r>
      <w:r w:rsidR="00BA6EC6" w:rsidRPr="00B2514F">
        <w:rPr>
          <w:rFonts w:asciiTheme="minorHAnsi" w:hAnsiTheme="minorHAnsi" w:cs="Calibri-Bold"/>
          <w:bCs/>
          <w:lang w:eastAsia="en-GB"/>
        </w:rPr>
        <w:t xml:space="preserve"> in 2015</w:t>
      </w:r>
      <w:r w:rsidRPr="00B2514F">
        <w:rPr>
          <w:rFonts w:asciiTheme="minorHAnsi" w:hAnsiTheme="minorHAnsi" w:cs="Calibri-Bold"/>
          <w:bCs/>
          <w:lang w:eastAsia="en-GB"/>
        </w:rPr>
        <w:t>.</w:t>
      </w:r>
      <w:r w:rsidRPr="00B2514F">
        <w:rPr>
          <w:rFonts w:asciiTheme="minorHAnsi" w:hAnsiTheme="minorHAnsi" w:cs="Calibri-Bold"/>
          <w:b/>
          <w:bCs/>
          <w:lang w:eastAsia="en-GB"/>
        </w:rPr>
        <w:t xml:space="preserve"> </w:t>
      </w:r>
      <w:r w:rsidRPr="00B2514F">
        <w:rPr>
          <w:rFonts w:asciiTheme="minorHAnsi" w:hAnsiTheme="minorHAnsi" w:cs="Calibri"/>
          <w:lang w:eastAsia="en-GB"/>
        </w:rPr>
        <w:t>Investment in transportation and distribution networks was USD 460 billion, with the majority – USD 260 billion – going to electricity and USD 195 billion to pipelines and LNG facilities. Coal, nuclear, renewable heat and biomass accounted for the rest of supply-side investment.</w:t>
      </w:r>
    </w:p>
    <w:p w:rsidR="004F27F3" w:rsidRPr="00B2514F" w:rsidRDefault="004F27F3" w:rsidP="004F27F3">
      <w:pPr>
        <w:autoSpaceDE w:val="0"/>
        <w:autoSpaceDN w:val="0"/>
        <w:adjustRightInd w:val="0"/>
        <w:spacing w:after="0" w:line="240" w:lineRule="auto"/>
        <w:rPr>
          <w:rFonts w:asciiTheme="minorHAnsi" w:hAnsiTheme="minorHAnsi" w:cs="Calibri"/>
          <w:lang w:eastAsia="en-GB"/>
        </w:rPr>
      </w:pPr>
    </w:p>
    <w:p w:rsidR="004F27F3" w:rsidRPr="00B2514F" w:rsidRDefault="004F27F3" w:rsidP="004F27F3">
      <w:pPr>
        <w:autoSpaceDE w:val="0"/>
        <w:autoSpaceDN w:val="0"/>
        <w:adjustRightInd w:val="0"/>
        <w:spacing w:after="0" w:line="240" w:lineRule="auto"/>
        <w:jc w:val="both"/>
        <w:rPr>
          <w:rFonts w:asciiTheme="minorHAnsi" w:eastAsia="Times New Roman" w:hAnsiTheme="minorHAnsi"/>
          <w:lang w:eastAsia="en-GB"/>
        </w:rPr>
      </w:pPr>
      <w:r w:rsidRPr="00B2514F">
        <w:rPr>
          <w:rFonts w:asciiTheme="minorHAnsi" w:hAnsiTheme="minorHAnsi" w:cs="Calibri"/>
          <w:lang w:eastAsia="en-GB"/>
        </w:rPr>
        <w:lastRenderedPageBreak/>
        <w:t xml:space="preserve">About </w:t>
      </w:r>
      <w:r w:rsidRPr="00B2514F">
        <w:rPr>
          <w:rFonts w:asciiTheme="minorHAnsi" w:hAnsiTheme="minorHAnsi" w:cs="Calibri-Bold"/>
          <w:bCs/>
          <w:lang w:eastAsia="en-GB"/>
        </w:rPr>
        <w:t>USD 220 billion, or 12%, was invested into energy efficiency</w:t>
      </w:r>
      <w:r w:rsidRPr="00B2514F">
        <w:rPr>
          <w:rFonts w:asciiTheme="minorHAnsi" w:hAnsiTheme="minorHAnsi" w:cs="Calibri-Bold"/>
          <w:b/>
          <w:bCs/>
          <w:lang w:eastAsia="en-GB"/>
        </w:rPr>
        <w:t xml:space="preserve">. </w:t>
      </w:r>
      <w:r w:rsidR="00BA6EC6" w:rsidRPr="00B2514F">
        <w:rPr>
          <w:rFonts w:asciiTheme="minorHAnsi" w:hAnsiTheme="minorHAnsi" w:cs="Calibri"/>
          <w:lang w:eastAsia="en-GB"/>
        </w:rPr>
        <w:t>Just over half</w:t>
      </w:r>
      <w:r w:rsidRPr="00B2514F">
        <w:rPr>
          <w:rFonts w:asciiTheme="minorHAnsi" w:hAnsiTheme="minorHAnsi" w:cs="Calibri"/>
          <w:lang w:eastAsia="en-GB"/>
        </w:rPr>
        <w:t xml:space="preserve"> of that was spent on improving building efficiency including household appliances, an area where the increasing coverage of regulatory standards is curbing demand growth in mature markets. Spending on efficient transport increased to over USD 60 billion. While the impact of low oil prices on new vehicle efficiencies was noticeable, it did not derail the trend towards better fuel economy.</w:t>
      </w:r>
      <w:r w:rsidRPr="00B2514F">
        <w:rPr>
          <w:rFonts w:asciiTheme="minorHAnsi" w:eastAsia="Times New Roman" w:hAnsiTheme="minorHAnsi"/>
          <w:lang w:eastAsia="en-GB"/>
        </w:rPr>
        <w:t xml:space="preserve"> </w:t>
      </w:r>
    </w:p>
    <w:p w:rsidR="004F27F3" w:rsidRPr="00B2514F" w:rsidRDefault="004F27F3" w:rsidP="004F27F3">
      <w:pPr>
        <w:autoSpaceDE w:val="0"/>
        <w:autoSpaceDN w:val="0"/>
        <w:adjustRightInd w:val="0"/>
        <w:spacing w:after="0" w:line="240" w:lineRule="auto"/>
        <w:jc w:val="both"/>
        <w:rPr>
          <w:rFonts w:asciiTheme="minorHAnsi" w:eastAsia="Times New Roman" w:hAnsiTheme="minorHAnsi"/>
          <w:lang w:eastAsia="en-GB"/>
        </w:rPr>
      </w:pPr>
    </w:p>
    <w:p w:rsidR="004F27F3" w:rsidRPr="00B2514F" w:rsidRDefault="004F27F3" w:rsidP="004F27F3">
      <w:pPr>
        <w:autoSpaceDE w:val="0"/>
        <w:autoSpaceDN w:val="0"/>
        <w:adjustRightInd w:val="0"/>
        <w:spacing w:after="0" w:line="240" w:lineRule="auto"/>
        <w:jc w:val="both"/>
        <w:rPr>
          <w:rFonts w:asciiTheme="minorHAnsi" w:hAnsiTheme="minorHAnsi" w:cs="Calibri"/>
          <w:lang w:eastAsia="en-GB"/>
        </w:rPr>
      </w:pPr>
      <w:r w:rsidRPr="00B2514F">
        <w:rPr>
          <w:rFonts w:asciiTheme="minorHAnsi" w:eastAsia="Times New Roman" w:hAnsiTheme="minorHAnsi"/>
          <w:lang w:eastAsia="en-GB"/>
        </w:rPr>
        <w:t>Renewable energy investments of USD 313 billion accounted for nearly a fifth of total energy spending last year, establishing renewables as the largest source of power investment. While spending on renewable power capacity was flat between 2011 and 2015, electricity generation from the new capacity rose by one third, reflecting the steep cost declines in wind turbines and solar PV. The investment in renewable power capacity in 2015 generates more than enough to cover global electricity demand growth.</w:t>
      </w:r>
    </w:p>
    <w:p w:rsidR="004F27F3" w:rsidRPr="00B2514F" w:rsidRDefault="004F27F3" w:rsidP="00B2514F">
      <w:pPr>
        <w:autoSpaceDE w:val="0"/>
        <w:autoSpaceDN w:val="0"/>
        <w:adjustRightInd w:val="0"/>
        <w:spacing w:after="0" w:line="240" w:lineRule="auto"/>
        <w:jc w:val="both"/>
        <w:rPr>
          <w:rFonts w:asciiTheme="minorHAnsi" w:hAnsiTheme="minorHAnsi" w:cs="Calibri"/>
          <w:lang w:eastAsia="en-GB"/>
        </w:rPr>
      </w:pPr>
    </w:p>
    <w:p w:rsidR="0069475E" w:rsidRPr="00B2514F" w:rsidRDefault="00862299" w:rsidP="00B2514F">
      <w:pPr>
        <w:autoSpaceDE w:val="0"/>
        <w:autoSpaceDN w:val="0"/>
        <w:adjustRightInd w:val="0"/>
        <w:spacing w:after="0" w:line="240" w:lineRule="auto"/>
        <w:jc w:val="both"/>
        <w:rPr>
          <w:rFonts w:asciiTheme="minorHAnsi" w:hAnsiTheme="minorHAnsi" w:cs="Calibri"/>
          <w:lang w:eastAsia="en-GB"/>
        </w:rPr>
      </w:pPr>
      <w:r w:rsidRPr="00B2514F">
        <w:rPr>
          <w:rFonts w:asciiTheme="minorHAnsi" w:hAnsiTheme="minorHAnsi" w:cs="Calibri"/>
          <w:lang w:eastAsia="en-GB"/>
        </w:rPr>
        <w:t>Investment in new capacity to meet rising demand is declining as a share of the</w:t>
      </w:r>
      <w:r w:rsidR="009B2ACA" w:rsidRPr="00B2514F">
        <w:rPr>
          <w:rFonts w:asciiTheme="minorHAnsi" w:hAnsiTheme="minorHAnsi" w:cs="Calibri"/>
          <w:lang w:eastAsia="en-GB"/>
        </w:rPr>
        <w:t xml:space="preserve"> </w:t>
      </w:r>
      <w:r w:rsidRPr="00B2514F">
        <w:rPr>
          <w:rFonts w:asciiTheme="minorHAnsi" w:hAnsiTheme="minorHAnsi" w:cs="Calibri"/>
          <w:lang w:eastAsia="en-GB"/>
        </w:rPr>
        <w:t>total with a deceleration of energy demand growth – primarily the result of</w:t>
      </w:r>
      <w:r w:rsidR="009B2ACA" w:rsidRPr="00B2514F">
        <w:rPr>
          <w:rFonts w:asciiTheme="minorHAnsi" w:hAnsiTheme="minorHAnsi" w:cs="Calibri"/>
          <w:lang w:eastAsia="en-GB"/>
        </w:rPr>
        <w:t xml:space="preserve"> </w:t>
      </w:r>
      <w:r w:rsidRPr="00B2514F">
        <w:rPr>
          <w:rFonts w:asciiTheme="minorHAnsi" w:hAnsiTheme="minorHAnsi" w:cs="Calibri"/>
          <w:lang w:eastAsia="en-GB"/>
        </w:rPr>
        <w:t>declining energy intensity and slower growth, especially in China.</w:t>
      </w:r>
    </w:p>
    <w:p w:rsidR="0069475E" w:rsidRPr="00B2514F" w:rsidRDefault="0069475E" w:rsidP="00B2514F">
      <w:pPr>
        <w:autoSpaceDE w:val="0"/>
        <w:autoSpaceDN w:val="0"/>
        <w:adjustRightInd w:val="0"/>
        <w:spacing w:after="0" w:line="240" w:lineRule="auto"/>
        <w:jc w:val="both"/>
        <w:rPr>
          <w:rFonts w:asciiTheme="minorHAnsi" w:hAnsiTheme="minorHAnsi" w:cs="Calibri"/>
          <w:lang w:eastAsia="en-GB"/>
        </w:rPr>
      </w:pPr>
    </w:p>
    <w:p w:rsidR="004F27F3" w:rsidRPr="00B2514F" w:rsidRDefault="00862299" w:rsidP="00B2514F">
      <w:pPr>
        <w:autoSpaceDE w:val="0"/>
        <w:autoSpaceDN w:val="0"/>
        <w:adjustRightInd w:val="0"/>
        <w:spacing w:after="0" w:line="240" w:lineRule="auto"/>
        <w:jc w:val="both"/>
        <w:rPr>
          <w:rFonts w:asciiTheme="minorHAnsi" w:eastAsia="Times New Roman" w:hAnsiTheme="minorHAnsi"/>
          <w:lang w:eastAsia="en-GB"/>
        </w:rPr>
      </w:pPr>
      <w:r w:rsidRPr="00B2514F">
        <w:rPr>
          <w:rFonts w:asciiTheme="minorHAnsi" w:hAnsiTheme="minorHAnsi" w:cs="Calibri"/>
          <w:lang w:eastAsia="en-GB"/>
        </w:rPr>
        <w:t>A</w:t>
      </w:r>
      <w:r w:rsidR="009B155B" w:rsidRPr="00B2514F">
        <w:rPr>
          <w:rFonts w:asciiTheme="minorHAnsi" w:hAnsiTheme="minorHAnsi" w:cs="Calibri"/>
          <w:lang w:eastAsia="en-GB"/>
        </w:rPr>
        <w:t xml:space="preserve"> structural shift </w:t>
      </w:r>
      <w:r w:rsidRPr="00B2514F">
        <w:rPr>
          <w:rFonts w:asciiTheme="minorHAnsi" w:hAnsiTheme="minorHAnsi" w:cs="Calibri"/>
          <w:lang w:eastAsia="en-GB"/>
        </w:rPr>
        <w:t xml:space="preserve">towards services and rapid improvements in energy efficiency </w:t>
      </w:r>
      <w:r w:rsidR="00640E1F" w:rsidRPr="00B2514F">
        <w:rPr>
          <w:rFonts w:asciiTheme="minorHAnsi" w:hAnsiTheme="minorHAnsi" w:cs="Calibri"/>
          <w:lang w:eastAsia="en-GB"/>
        </w:rPr>
        <w:t xml:space="preserve">kept </w:t>
      </w:r>
      <w:r w:rsidRPr="00B2514F">
        <w:rPr>
          <w:rFonts w:asciiTheme="minorHAnsi" w:hAnsiTheme="minorHAnsi" w:cs="Calibri"/>
          <w:lang w:eastAsia="en-GB"/>
        </w:rPr>
        <w:t>Chin</w:t>
      </w:r>
      <w:r w:rsidR="00640E1F" w:rsidRPr="00B2514F">
        <w:rPr>
          <w:rFonts w:asciiTheme="minorHAnsi" w:hAnsiTheme="minorHAnsi" w:cs="Calibri"/>
          <w:lang w:eastAsia="en-GB"/>
        </w:rPr>
        <w:t>a’s</w:t>
      </w:r>
      <w:r w:rsidRPr="00B2514F">
        <w:rPr>
          <w:rFonts w:asciiTheme="minorHAnsi" w:hAnsiTheme="minorHAnsi" w:cs="Calibri"/>
          <w:lang w:eastAsia="en-GB"/>
        </w:rPr>
        <w:t xml:space="preserve"> energy demand</w:t>
      </w:r>
      <w:r w:rsidR="00640E1F" w:rsidRPr="00B2514F">
        <w:rPr>
          <w:rFonts w:asciiTheme="minorHAnsi" w:hAnsiTheme="minorHAnsi" w:cs="Calibri"/>
          <w:lang w:eastAsia="en-GB"/>
        </w:rPr>
        <w:t xml:space="preserve"> down</w:t>
      </w:r>
      <w:r w:rsidRPr="00B2514F">
        <w:rPr>
          <w:rFonts w:asciiTheme="minorHAnsi" w:hAnsiTheme="minorHAnsi" w:cs="Calibri"/>
          <w:lang w:eastAsia="en-GB"/>
        </w:rPr>
        <w:t xml:space="preserve">. India </w:t>
      </w:r>
      <w:r w:rsidR="004F27F3" w:rsidRPr="00B2514F">
        <w:rPr>
          <w:rFonts w:asciiTheme="minorHAnsi" w:hAnsiTheme="minorHAnsi" w:cs="Calibri"/>
          <w:lang w:eastAsia="en-GB"/>
        </w:rPr>
        <w:t>wa</w:t>
      </w:r>
      <w:r w:rsidRPr="00B2514F">
        <w:rPr>
          <w:rFonts w:asciiTheme="minorHAnsi" w:hAnsiTheme="minorHAnsi" w:cs="Calibri"/>
          <w:lang w:eastAsia="en-GB"/>
        </w:rPr>
        <w:t>s</w:t>
      </w:r>
      <w:r w:rsidR="00640E1F" w:rsidRPr="00B2514F">
        <w:rPr>
          <w:rFonts w:asciiTheme="minorHAnsi" w:hAnsiTheme="minorHAnsi" w:cs="Calibri"/>
          <w:lang w:eastAsia="en-GB"/>
        </w:rPr>
        <w:t xml:space="preserve"> </w:t>
      </w:r>
      <w:r w:rsidRPr="00B2514F">
        <w:rPr>
          <w:rFonts w:asciiTheme="minorHAnsi" w:hAnsiTheme="minorHAnsi" w:cs="Calibri"/>
          <w:lang w:eastAsia="en-GB"/>
        </w:rPr>
        <w:t>the only major economy where accelerating</w:t>
      </w:r>
      <w:r w:rsidR="009B2ACA" w:rsidRPr="00B2514F">
        <w:rPr>
          <w:rFonts w:asciiTheme="minorHAnsi" w:hAnsiTheme="minorHAnsi" w:cs="Calibri"/>
          <w:lang w:eastAsia="en-GB"/>
        </w:rPr>
        <w:t xml:space="preserve"> </w:t>
      </w:r>
      <w:r w:rsidRPr="00B2514F">
        <w:rPr>
          <w:rFonts w:asciiTheme="minorHAnsi" w:hAnsiTheme="minorHAnsi" w:cs="Calibri"/>
          <w:lang w:eastAsia="en-GB"/>
        </w:rPr>
        <w:t>economic growth boosted energy demand. Loose monetary conditions and low</w:t>
      </w:r>
      <w:r w:rsidR="009B2ACA" w:rsidRPr="00B2514F">
        <w:rPr>
          <w:rFonts w:asciiTheme="minorHAnsi" w:hAnsiTheme="minorHAnsi" w:cs="Calibri"/>
          <w:lang w:eastAsia="en-GB"/>
        </w:rPr>
        <w:t xml:space="preserve"> </w:t>
      </w:r>
      <w:r w:rsidRPr="00B2514F">
        <w:rPr>
          <w:rFonts w:asciiTheme="minorHAnsi" w:hAnsiTheme="minorHAnsi" w:cs="Calibri"/>
          <w:lang w:eastAsia="en-GB"/>
        </w:rPr>
        <w:t>interest rates continue</w:t>
      </w:r>
      <w:r w:rsidR="004F27F3" w:rsidRPr="00B2514F">
        <w:rPr>
          <w:rFonts w:asciiTheme="minorHAnsi" w:hAnsiTheme="minorHAnsi" w:cs="Calibri"/>
          <w:lang w:eastAsia="en-GB"/>
        </w:rPr>
        <w:t>d</w:t>
      </w:r>
      <w:r w:rsidRPr="00B2514F">
        <w:rPr>
          <w:rFonts w:asciiTheme="minorHAnsi" w:hAnsiTheme="minorHAnsi" w:cs="Calibri"/>
          <w:lang w:eastAsia="en-GB"/>
        </w:rPr>
        <w:t xml:space="preserve"> to support investment across the energy system.</w:t>
      </w:r>
    </w:p>
    <w:p w:rsidR="004F27F3" w:rsidRPr="00B2514F" w:rsidRDefault="004F27F3" w:rsidP="00B2514F">
      <w:pPr>
        <w:autoSpaceDE w:val="0"/>
        <w:autoSpaceDN w:val="0"/>
        <w:adjustRightInd w:val="0"/>
        <w:spacing w:after="0" w:line="240" w:lineRule="auto"/>
        <w:jc w:val="both"/>
        <w:rPr>
          <w:rFonts w:asciiTheme="minorHAnsi" w:hAnsiTheme="minorHAnsi" w:cs="Calibri"/>
          <w:lang w:eastAsia="en-GB"/>
        </w:rPr>
      </w:pPr>
    </w:p>
    <w:p w:rsidR="004F27F3" w:rsidRPr="00B2514F" w:rsidRDefault="00AF5501" w:rsidP="00B2514F">
      <w:pPr>
        <w:autoSpaceDE w:val="0"/>
        <w:autoSpaceDN w:val="0"/>
        <w:adjustRightInd w:val="0"/>
        <w:spacing w:after="0" w:line="240" w:lineRule="auto"/>
        <w:jc w:val="both"/>
        <w:rPr>
          <w:rFonts w:asciiTheme="minorHAnsi" w:eastAsia="Times New Roman" w:hAnsiTheme="minorHAnsi"/>
          <w:lang w:eastAsia="en-GB"/>
        </w:rPr>
      </w:pPr>
      <w:r w:rsidRPr="00B2514F">
        <w:rPr>
          <w:rFonts w:asciiTheme="minorHAnsi" w:eastAsia="Times New Roman" w:hAnsiTheme="minorHAnsi"/>
          <w:lang w:eastAsia="en-GB"/>
        </w:rPr>
        <w:t>With energy supply spending of USD 315 billion, China was once again the world’s largest energy investor in 2015 thanks to robust efforts in building up low-carbon generation and electricity networks, as well as implementing energy efficiency policies. </w:t>
      </w:r>
    </w:p>
    <w:p w:rsidR="004F27F3" w:rsidRPr="00B2514F" w:rsidRDefault="004F27F3" w:rsidP="00B2514F">
      <w:pPr>
        <w:autoSpaceDE w:val="0"/>
        <w:autoSpaceDN w:val="0"/>
        <w:adjustRightInd w:val="0"/>
        <w:spacing w:after="0" w:line="240" w:lineRule="auto"/>
        <w:jc w:val="both"/>
        <w:rPr>
          <w:rFonts w:asciiTheme="minorHAnsi" w:eastAsia="Times New Roman" w:hAnsiTheme="minorHAnsi"/>
          <w:lang w:eastAsia="en-GB"/>
        </w:rPr>
      </w:pPr>
    </w:p>
    <w:p w:rsidR="004F27F3" w:rsidRPr="00B2514F" w:rsidRDefault="00AF5501" w:rsidP="00B2514F">
      <w:pPr>
        <w:autoSpaceDE w:val="0"/>
        <w:autoSpaceDN w:val="0"/>
        <w:adjustRightInd w:val="0"/>
        <w:spacing w:after="0" w:line="240" w:lineRule="auto"/>
        <w:jc w:val="both"/>
        <w:rPr>
          <w:rFonts w:asciiTheme="minorHAnsi" w:eastAsia="Times New Roman" w:hAnsiTheme="minorHAnsi"/>
          <w:lang w:eastAsia="en-GB"/>
        </w:rPr>
      </w:pPr>
      <w:r w:rsidRPr="00B2514F">
        <w:rPr>
          <w:rFonts w:asciiTheme="minorHAnsi" w:eastAsia="Times New Roman" w:hAnsiTheme="minorHAnsi"/>
          <w:lang w:eastAsia="en-GB"/>
        </w:rPr>
        <w:t xml:space="preserve">Investment in the United States’ energy supply declined to about USD 280 billion in 2015, falling </w:t>
      </w:r>
      <w:r w:rsidR="00AB41D4">
        <w:rPr>
          <w:rFonts w:asciiTheme="minorHAnsi" w:eastAsia="Times New Roman" w:hAnsiTheme="minorHAnsi"/>
          <w:lang w:eastAsia="en-GB"/>
        </w:rPr>
        <w:t xml:space="preserve">by </w:t>
      </w:r>
      <w:r w:rsidRPr="00B2514F">
        <w:rPr>
          <w:rFonts w:asciiTheme="minorHAnsi" w:eastAsia="Times New Roman" w:hAnsiTheme="minorHAnsi"/>
          <w:lang w:eastAsia="en-GB"/>
        </w:rPr>
        <w:t>nearly USD 75</w:t>
      </w:r>
      <w:r w:rsidR="00AB41D4">
        <w:rPr>
          <w:rFonts w:asciiTheme="minorHAnsi" w:eastAsia="Times New Roman" w:hAnsiTheme="minorHAnsi"/>
          <w:lang w:eastAsia="en-GB"/>
        </w:rPr>
        <w:t xml:space="preserve"> </w:t>
      </w:r>
      <w:r w:rsidRPr="00B2514F">
        <w:rPr>
          <w:rFonts w:asciiTheme="minorHAnsi" w:eastAsia="Times New Roman" w:hAnsiTheme="minorHAnsi"/>
          <w:lang w:eastAsia="en-GB"/>
        </w:rPr>
        <w:t>billion, due to low oil prices and cost deflation, representing half of the total decline in global energy spending. The Middle East and Russia emerged as the most resilient regions to spending cuts, thanks respectively to lower production costs and currency movements. As a result, national oil companies accounted for 44 percent of overall upstream investments, an all-time high.</w:t>
      </w:r>
    </w:p>
    <w:p w:rsidR="004F27F3" w:rsidRPr="00B2514F" w:rsidRDefault="004F27F3" w:rsidP="00B2514F">
      <w:pPr>
        <w:autoSpaceDE w:val="0"/>
        <w:autoSpaceDN w:val="0"/>
        <w:adjustRightInd w:val="0"/>
        <w:spacing w:after="0" w:line="240" w:lineRule="auto"/>
        <w:jc w:val="both"/>
        <w:rPr>
          <w:rFonts w:asciiTheme="minorHAnsi" w:eastAsia="Times New Roman" w:hAnsiTheme="minorHAnsi"/>
          <w:lang w:eastAsia="en-GB"/>
        </w:rPr>
      </w:pPr>
    </w:p>
    <w:p w:rsidR="00AF5501" w:rsidRPr="00B2514F" w:rsidRDefault="00AF5501" w:rsidP="00B2514F">
      <w:pPr>
        <w:autoSpaceDE w:val="0"/>
        <w:autoSpaceDN w:val="0"/>
        <w:adjustRightInd w:val="0"/>
        <w:spacing w:after="0" w:line="240" w:lineRule="auto"/>
        <w:jc w:val="both"/>
        <w:rPr>
          <w:rFonts w:asciiTheme="minorHAnsi" w:eastAsia="Times New Roman" w:hAnsiTheme="minorHAnsi"/>
          <w:color w:val="000000" w:themeColor="text1"/>
          <w:lang w:eastAsia="en-GB"/>
        </w:rPr>
      </w:pPr>
      <w:r w:rsidRPr="00B2514F">
        <w:rPr>
          <w:rFonts w:asciiTheme="minorHAnsi" w:eastAsia="Times New Roman" w:hAnsiTheme="minorHAnsi"/>
          <w:color w:val="000000" w:themeColor="text1"/>
          <w:lang w:eastAsia="en-GB"/>
        </w:rPr>
        <w:t>Technology innovations boosted investment in smart grids and storage, which are expected to play a crucial role in integrating large shares of wind and solar. While grid-scale battery storage investment expanded tenfold since 2010, their value is predominantly to complement the grid, which continues to absorb much larger investment.</w:t>
      </w:r>
    </w:p>
    <w:p w:rsidR="00852162" w:rsidRPr="00B2514F" w:rsidRDefault="00852162" w:rsidP="00B2514F">
      <w:pPr>
        <w:autoSpaceDE w:val="0"/>
        <w:autoSpaceDN w:val="0"/>
        <w:adjustRightInd w:val="0"/>
        <w:spacing w:after="0" w:line="240" w:lineRule="auto"/>
        <w:jc w:val="both"/>
        <w:rPr>
          <w:rFonts w:asciiTheme="minorHAnsi" w:eastAsia="Times New Roman" w:hAnsiTheme="minorHAnsi"/>
          <w:color w:val="000000" w:themeColor="text1"/>
          <w:lang w:eastAsia="en-GB"/>
        </w:rPr>
      </w:pPr>
    </w:p>
    <w:p w:rsidR="00AF5501" w:rsidRPr="00B2514F" w:rsidRDefault="00AF5501" w:rsidP="00B2514F">
      <w:pPr>
        <w:spacing w:after="100" w:afterAutospacing="1" w:line="240" w:lineRule="auto"/>
        <w:jc w:val="both"/>
        <w:rPr>
          <w:rFonts w:asciiTheme="minorHAnsi" w:eastAsia="Times New Roman" w:hAnsiTheme="minorHAnsi"/>
          <w:color w:val="000000" w:themeColor="text1"/>
          <w:lang w:eastAsia="en-GB"/>
        </w:rPr>
      </w:pPr>
      <w:r w:rsidRPr="00B2514F">
        <w:rPr>
          <w:rFonts w:asciiTheme="minorHAnsi" w:eastAsia="Times New Roman" w:hAnsiTheme="minorHAnsi"/>
          <w:color w:val="000000" w:themeColor="text1"/>
          <w:lang w:eastAsia="en-GB"/>
        </w:rPr>
        <w:t>Global gas-fired power generation investment declined by nearly 40%. Asian markets continued to favour investment in coal power. Investment activity in European gas power remained muted despite large retirements anticipated in the next decade.</w:t>
      </w:r>
    </w:p>
    <w:p w:rsidR="00AF5501" w:rsidRPr="00B2514F" w:rsidRDefault="00AF5501" w:rsidP="00B2514F">
      <w:pPr>
        <w:spacing w:after="100" w:afterAutospacing="1" w:line="240" w:lineRule="auto"/>
        <w:jc w:val="both"/>
        <w:rPr>
          <w:rFonts w:asciiTheme="minorHAnsi" w:eastAsia="Times New Roman" w:hAnsiTheme="minorHAnsi"/>
          <w:color w:val="4F4F4F"/>
          <w:lang w:eastAsia="en-GB"/>
        </w:rPr>
      </w:pPr>
      <w:r w:rsidRPr="00B2514F">
        <w:rPr>
          <w:rFonts w:asciiTheme="minorHAnsi" w:eastAsia="Times New Roman" w:hAnsiTheme="minorHAnsi"/>
          <w:color w:val="000000" w:themeColor="text1"/>
          <w:lang w:eastAsia="en-GB"/>
        </w:rPr>
        <w:t>With investment rising 6%, energy efficiency spending was robust in 2015 due to government policies such as minimum standards that cover a rising share of new buildings, appliances and motor vehicles. In certain countries, lower</w:t>
      </w:r>
      <w:r w:rsidR="00AB41D4">
        <w:rPr>
          <w:rFonts w:asciiTheme="minorHAnsi" w:eastAsia="Times New Roman" w:hAnsiTheme="minorHAnsi"/>
          <w:color w:val="000000" w:themeColor="text1"/>
          <w:lang w:eastAsia="en-GB"/>
        </w:rPr>
        <w:t xml:space="preserve"> oil</w:t>
      </w:r>
      <w:r w:rsidRPr="00B2514F">
        <w:rPr>
          <w:rFonts w:asciiTheme="minorHAnsi" w:eastAsia="Times New Roman" w:hAnsiTheme="minorHAnsi"/>
          <w:color w:val="000000" w:themeColor="text1"/>
          <w:lang w:eastAsia="en-GB"/>
        </w:rPr>
        <w:t xml:space="preserve"> prices slowed the trend towards more fuel-efficient </w:t>
      </w:r>
      <w:proofErr w:type="gramStart"/>
      <w:r w:rsidRPr="00B2514F">
        <w:rPr>
          <w:rFonts w:asciiTheme="minorHAnsi" w:eastAsia="Times New Roman" w:hAnsiTheme="minorHAnsi"/>
          <w:color w:val="000000" w:themeColor="text1"/>
          <w:lang w:eastAsia="en-GB"/>
        </w:rPr>
        <w:t>vehicles,</w:t>
      </w:r>
      <w:proofErr w:type="gramEnd"/>
      <w:r w:rsidRPr="00B2514F">
        <w:rPr>
          <w:rFonts w:asciiTheme="minorHAnsi" w:eastAsia="Times New Roman" w:hAnsiTheme="minorHAnsi"/>
          <w:color w:val="000000" w:themeColor="text1"/>
          <w:lang w:eastAsia="en-GB"/>
        </w:rPr>
        <w:t xml:space="preserve"> most notably in the United States where the rate of improvement in efficiency was two-thirds lower than that in recent years</w:t>
      </w:r>
      <w:r w:rsidRPr="00B2514F">
        <w:rPr>
          <w:rFonts w:asciiTheme="minorHAnsi" w:eastAsia="Times New Roman" w:hAnsiTheme="minorHAnsi"/>
          <w:color w:val="4F4F4F"/>
          <w:lang w:eastAsia="en-GB"/>
        </w:rPr>
        <w:t>.</w:t>
      </w:r>
    </w:p>
    <w:p w:rsidR="003A3C21" w:rsidRPr="00B2514F" w:rsidRDefault="007A4516" w:rsidP="00B2514F">
      <w:pPr>
        <w:autoSpaceDE w:val="0"/>
        <w:autoSpaceDN w:val="0"/>
        <w:adjustRightInd w:val="0"/>
        <w:spacing w:after="0" w:line="240" w:lineRule="auto"/>
        <w:jc w:val="both"/>
        <w:rPr>
          <w:rFonts w:asciiTheme="minorHAnsi" w:hAnsiTheme="minorHAnsi" w:cs="Calibri"/>
          <w:lang w:eastAsia="en-GB"/>
        </w:rPr>
      </w:pPr>
      <w:r w:rsidRPr="00B2514F">
        <w:rPr>
          <w:rFonts w:asciiTheme="minorHAnsi" w:hAnsiTheme="minorHAnsi" w:cs="Calibri-Bold"/>
          <w:bCs/>
          <w:lang w:eastAsia="en-GB"/>
        </w:rPr>
        <w:t>Globally, energy investment is not yet consistent with the transition to a low-carbon</w:t>
      </w:r>
      <w:r w:rsidR="00601300" w:rsidRPr="00B2514F">
        <w:rPr>
          <w:rFonts w:asciiTheme="minorHAnsi" w:hAnsiTheme="minorHAnsi" w:cs="Calibri-Bold"/>
          <w:bCs/>
          <w:lang w:eastAsia="en-GB"/>
        </w:rPr>
        <w:t xml:space="preserve"> </w:t>
      </w:r>
      <w:r w:rsidRPr="00B2514F">
        <w:rPr>
          <w:rFonts w:asciiTheme="minorHAnsi" w:hAnsiTheme="minorHAnsi" w:cs="Calibri-Bold"/>
          <w:bCs/>
          <w:lang w:eastAsia="en-GB"/>
        </w:rPr>
        <w:t>energy system envisaged in the Paris Climate Agreement reached at the end of 2015.</w:t>
      </w:r>
      <w:r w:rsidR="00601300" w:rsidRPr="00B2514F">
        <w:rPr>
          <w:rFonts w:asciiTheme="minorHAnsi" w:hAnsiTheme="minorHAnsi" w:cs="Calibri-Bold"/>
          <w:bCs/>
          <w:lang w:eastAsia="en-GB"/>
        </w:rPr>
        <w:t xml:space="preserve"> </w:t>
      </w:r>
      <w:r w:rsidRPr="00B2514F">
        <w:rPr>
          <w:rFonts w:asciiTheme="minorHAnsi" w:hAnsiTheme="minorHAnsi" w:cs="Calibri"/>
          <w:lang w:eastAsia="en-GB"/>
        </w:rPr>
        <w:t xml:space="preserve">While wind, </w:t>
      </w:r>
      <w:r w:rsidRPr="00B2514F">
        <w:rPr>
          <w:rFonts w:asciiTheme="minorHAnsi" w:hAnsiTheme="minorHAnsi" w:cs="Calibri"/>
          <w:lang w:eastAsia="en-GB"/>
        </w:rPr>
        <w:lastRenderedPageBreak/>
        <w:t>solar PV and electric-vehicle investments are broadly on a trajectory consistent</w:t>
      </w:r>
      <w:r w:rsidR="00601300" w:rsidRPr="00B2514F">
        <w:rPr>
          <w:rFonts w:asciiTheme="minorHAnsi" w:hAnsiTheme="minorHAnsi" w:cs="Calibri-Bold"/>
          <w:bCs/>
          <w:lang w:eastAsia="en-GB"/>
        </w:rPr>
        <w:t xml:space="preserve"> </w:t>
      </w:r>
      <w:r w:rsidRPr="00B2514F">
        <w:rPr>
          <w:rFonts w:asciiTheme="minorHAnsi" w:hAnsiTheme="minorHAnsi" w:cs="Calibri"/>
          <w:lang w:eastAsia="en-GB"/>
        </w:rPr>
        <w:t>with limiting the increase in global temperature to 2°C, investment in other low-carbon</w:t>
      </w:r>
      <w:r w:rsidR="00601300" w:rsidRPr="00B2514F">
        <w:rPr>
          <w:rFonts w:asciiTheme="minorHAnsi" w:hAnsiTheme="minorHAnsi" w:cs="Calibri-Bold"/>
          <w:bCs/>
          <w:lang w:eastAsia="en-GB"/>
        </w:rPr>
        <w:t xml:space="preserve"> </w:t>
      </w:r>
      <w:r w:rsidR="00601966" w:rsidRPr="00B2514F">
        <w:rPr>
          <w:rFonts w:cs="Calibri"/>
          <w:lang w:eastAsia="en-GB"/>
        </w:rPr>
        <w:t>technologies is falling behind. In several countries, nuclear capacity is ageing with little</w:t>
      </w:r>
      <w:r w:rsidR="00601300" w:rsidRPr="00B2514F">
        <w:rPr>
          <w:rFonts w:asciiTheme="minorHAnsi" w:hAnsiTheme="minorHAnsi" w:cs="Calibri-Bold"/>
          <w:bCs/>
          <w:lang w:eastAsia="en-GB"/>
        </w:rPr>
        <w:t xml:space="preserve"> </w:t>
      </w:r>
      <w:r w:rsidR="00601966" w:rsidRPr="00B2514F">
        <w:rPr>
          <w:rFonts w:cs="Calibri"/>
          <w:lang w:eastAsia="en-GB"/>
        </w:rPr>
        <w:t>investment going to replacement capacity, and renewables are struggling to compensate</w:t>
      </w:r>
      <w:r w:rsidR="00601300" w:rsidRPr="00B2514F">
        <w:rPr>
          <w:rFonts w:asciiTheme="minorHAnsi" w:hAnsiTheme="minorHAnsi" w:cs="Calibri-Bold"/>
          <w:bCs/>
          <w:lang w:eastAsia="en-GB"/>
        </w:rPr>
        <w:t xml:space="preserve"> </w:t>
      </w:r>
      <w:r w:rsidR="00601966" w:rsidRPr="00B2514F">
        <w:rPr>
          <w:rFonts w:cs="Calibri"/>
          <w:lang w:eastAsia="en-GB"/>
        </w:rPr>
        <w:t xml:space="preserve">for reduced nuclear output. </w:t>
      </w:r>
    </w:p>
    <w:p w:rsidR="003A3C21" w:rsidRPr="00B2514F" w:rsidRDefault="003A3C21" w:rsidP="00B2514F">
      <w:pPr>
        <w:autoSpaceDE w:val="0"/>
        <w:autoSpaceDN w:val="0"/>
        <w:adjustRightInd w:val="0"/>
        <w:spacing w:after="0" w:line="240" w:lineRule="auto"/>
        <w:jc w:val="both"/>
        <w:rPr>
          <w:rFonts w:asciiTheme="minorHAnsi" w:hAnsiTheme="minorHAnsi" w:cs="Calibri-Bold"/>
          <w:bCs/>
          <w:lang w:eastAsia="en-GB"/>
        </w:rPr>
      </w:pPr>
    </w:p>
    <w:p w:rsidR="00DF6D45" w:rsidRPr="00B2514F" w:rsidRDefault="00601966" w:rsidP="00B2514F">
      <w:pPr>
        <w:autoSpaceDE w:val="0"/>
        <w:autoSpaceDN w:val="0"/>
        <w:adjustRightInd w:val="0"/>
        <w:spacing w:after="0" w:line="240" w:lineRule="auto"/>
        <w:jc w:val="both"/>
        <w:rPr>
          <w:rFonts w:asciiTheme="minorHAnsi" w:hAnsiTheme="minorHAnsi" w:cs="Calibri"/>
          <w:lang w:eastAsia="en-GB"/>
        </w:rPr>
      </w:pPr>
      <w:r w:rsidRPr="00B2514F">
        <w:rPr>
          <w:rFonts w:asciiTheme="minorHAnsi" w:hAnsiTheme="minorHAnsi" w:cs="Calibri"/>
          <w:lang w:eastAsia="en-GB"/>
        </w:rPr>
        <w:t xml:space="preserve">Large-scale investment in </w:t>
      </w:r>
      <w:r w:rsidR="00C96499" w:rsidRPr="00B2514F">
        <w:rPr>
          <w:rFonts w:asciiTheme="minorHAnsi" w:hAnsiTheme="minorHAnsi" w:cs="Calibri"/>
          <w:lang w:eastAsia="en-GB"/>
        </w:rPr>
        <w:t>carbon capture and storage (</w:t>
      </w:r>
      <w:r w:rsidR="009B155B" w:rsidRPr="00B2514F">
        <w:rPr>
          <w:rFonts w:asciiTheme="minorHAnsi" w:hAnsiTheme="minorHAnsi" w:cs="Calibri"/>
          <w:lang w:eastAsia="en-GB"/>
        </w:rPr>
        <w:t>CCS</w:t>
      </w:r>
      <w:r w:rsidR="00C96499" w:rsidRPr="00B2514F">
        <w:rPr>
          <w:rFonts w:asciiTheme="minorHAnsi" w:hAnsiTheme="minorHAnsi" w:cs="Calibri"/>
          <w:lang w:eastAsia="en-GB"/>
        </w:rPr>
        <w:t>)</w:t>
      </w:r>
      <w:r w:rsidR="009B155B" w:rsidRPr="00B2514F">
        <w:rPr>
          <w:rFonts w:asciiTheme="minorHAnsi" w:hAnsiTheme="minorHAnsi" w:cs="Calibri"/>
          <w:lang w:eastAsia="en-GB"/>
        </w:rPr>
        <w:t xml:space="preserve"> has yet to take off. On the </w:t>
      </w:r>
      <w:r w:rsidRPr="00B2514F">
        <w:rPr>
          <w:rFonts w:asciiTheme="minorHAnsi" w:hAnsiTheme="minorHAnsi" w:cs="Calibri"/>
          <w:lang w:eastAsia="en-GB"/>
        </w:rPr>
        <w:t xml:space="preserve">demand side, economically viable alternatives to oil have yet to emerge in aviation, heavy </w:t>
      </w:r>
      <w:r w:rsidR="009B155B" w:rsidRPr="00B2514F">
        <w:rPr>
          <w:rFonts w:asciiTheme="minorHAnsi" w:hAnsiTheme="minorHAnsi" w:cs="Calibri"/>
          <w:lang w:eastAsia="en-GB"/>
        </w:rPr>
        <w:t xml:space="preserve">duty </w:t>
      </w:r>
      <w:r w:rsidRPr="00B2514F">
        <w:rPr>
          <w:rFonts w:asciiTheme="minorHAnsi" w:hAnsiTheme="minorHAnsi" w:cs="Calibri"/>
          <w:lang w:eastAsia="en-GB"/>
        </w:rPr>
        <w:t>transport and shipping, which collectively account for t</w:t>
      </w:r>
      <w:r w:rsidR="009B155B" w:rsidRPr="00B2514F">
        <w:rPr>
          <w:rFonts w:asciiTheme="minorHAnsi" w:hAnsiTheme="minorHAnsi" w:cs="Calibri"/>
          <w:lang w:eastAsia="en-GB"/>
        </w:rPr>
        <w:t xml:space="preserve">he bulk of oil consumption. And </w:t>
      </w:r>
      <w:r w:rsidRPr="00B2514F">
        <w:rPr>
          <w:rFonts w:asciiTheme="minorHAnsi" w:hAnsiTheme="minorHAnsi" w:cs="Calibri"/>
          <w:lang w:eastAsia="en-GB"/>
        </w:rPr>
        <w:t>large investments are still being made in highly inefficient subc</w:t>
      </w:r>
      <w:r w:rsidR="009B155B" w:rsidRPr="00B2514F">
        <w:rPr>
          <w:rFonts w:asciiTheme="minorHAnsi" w:hAnsiTheme="minorHAnsi" w:cs="Calibri"/>
          <w:lang w:eastAsia="en-GB"/>
        </w:rPr>
        <w:t xml:space="preserve">ritical coal plants, which risk </w:t>
      </w:r>
      <w:r w:rsidRPr="00B2514F">
        <w:rPr>
          <w:rFonts w:asciiTheme="minorHAnsi" w:hAnsiTheme="minorHAnsi" w:cs="Calibri"/>
          <w:lang w:eastAsia="en-GB"/>
        </w:rPr>
        <w:t>locking in carbon emissions for decades. A combination of accelerated t</w:t>
      </w:r>
      <w:r w:rsidR="009B155B" w:rsidRPr="00B2514F">
        <w:rPr>
          <w:rFonts w:asciiTheme="minorHAnsi" w:hAnsiTheme="minorHAnsi" w:cs="Calibri"/>
          <w:lang w:eastAsia="en-GB"/>
        </w:rPr>
        <w:t xml:space="preserve">echnological </w:t>
      </w:r>
      <w:r w:rsidRPr="00B2514F">
        <w:rPr>
          <w:rFonts w:asciiTheme="minorHAnsi" w:hAnsiTheme="minorHAnsi" w:cs="Calibri"/>
          <w:lang w:eastAsia="en-GB"/>
        </w:rPr>
        <w:t>innovation and an investment framework aimed at</w:t>
      </w:r>
      <w:r w:rsidR="009B155B" w:rsidRPr="00B2514F">
        <w:rPr>
          <w:rFonts w:asciiTheme="minorHAnsi" w:hAnsiTheme="minorHAnsi" w:cs="Calibri"/>
          <w:lang w:eastAsia="en-GB"/>
        </w:rPr>
        <w:t xml:space="preserve"> encouraging rapid, large-scale </w:t>
      </w:r>
      <w:r w:rsidRPr="00B2514F">
        <w:rPr>
          <w:rFonts w:asciiTheme="minorHAnsi" w:hAnsiTheme="minorHAnsi" w:cs="Calibri"/>
          <w:lang w:eastAsia="en-GB"/>
        </w:rPr>
        <w:t xml:space="preserve">deployment of low-carbon technologies will be essential to </w:t>
      </w:r>
      <w:r w:rsidR="009B155B" w:rsidRPr="00B2514F">
        <w:rPr>
          <w:rFonts w:asciiTheme="minorHAnsi" w:hAnsiTheme="minorHAnsi" w:cs="Calibri"/>
          <w:lang w:eastAsia="en-GB"/>
        </w:rPr>
        <w:t xml:space="preserve">steer the transformation of the </w:t>
      </w:r>
      <w:r w:rsidRPr="00B2514F">
        <w:rPr>
          <w:rFonts w:asciiTheme="minorHAnsi" w:hAnsiTheme="minorHAnsi" w:cs="Calibri"/>
          <w:lang w:eastAsia="en-GB"/>
        </w:rPr>
        <w:t>energy system in a timely way in order to jointly achieve climate and ene</w:t>
      </w:r>
      <w:r w:rsidR="009B155B" w:rsidRPr="00B2514F">
        <w:rPr>
          <w:rFonts w:asciiTheme="minorHAnsi" w:hAnsiTheme="minorHAnsi" w:cs="Calibri"/>
          <w:lang w:eastAsia="en-GB"/>
        </w:rPr>
        <w:t xml:space="preserve">rgy security </w:t>
      </w:r>
      <w:r w:rsidRPr="00B2514F">
        <w:rPr>
          <w:rFonts w:asciiTheme="minorHAnsi" w:hAnsiTheme="minorHAnsi" w:cs="Calibri"/>
          <w:lang w:eastAsia="en-GB"/>
        </w:rPr>
        <w:t>objectives.</w:t>
      </w:r>
    </w:p>
    <w:p w:rsidR="00337C74" w:rsidRPr="00B2514F" w:rsidRDefault="006E7522" w:rsidP="00B2514F">
      <w:pPr>
        <w:autoSpaceDE w:val="0"/>
        <w:autoSpaceDN w:val="0"/>
        <w:adjustRightInd w:val="0"/>
        <w:spacing w:after="0" w:line="240" w:lineRule="auto"/>
        <w:jc w:val="both"/>
        <w:rPr>
          <w:lang w:eastAsia="en-GB"/>
        </w:rPr>
      </w:pPr>
      <w:r w:rsidRPr="00B2514F">
        <w:rPr>
          <w:rFonts w:asciiTheme="minorHAnsi" w:hAnsiTheme="minorHAnsi"/>
          <w:b/>
          <w:bCs/>
          <w:iCs/>
        </w:rPr>
        <w:t xml:space="preserve"> </w:t>
      </w:r>
    </w:p>
    <w:p w:rsidR="002F11C6" w:rsidRPr="00B2514F" w:rsidRDefault="002F11C6" w:rsidP="00B2514F">
      <w:pPr>
        <w:autoSpaceDE w:val="0"/>
        <w:autoSpaceDN w:val="0"/>
        <w:adjustRightInd w:val="0"/>
        <w:spacing w:after="0" w:line="240" w:lineRule="auto"/>
        <w:jc w:val="both"/>
        <w:rPr>
          <w:rFonts w:asciiTheme="minorHAnsi" w:hAnsiTheme="minorHAnsi" w:cs="Calibri-Bold"/>
          <w:b/>
          <w:bCs/>
          <w:color w:val="000000"/>
          <w:lang w:eastAsia="en-GB"/>
        </w:rPr>
      </w:pPr>
      <w:bookmarkStart w:id="0" w:name="_GoBack"/>
      <w:bookmarkEnd w:id="0"/>
    </w:p>
    <w:sectPr w:rsidR="002F11C6" w:rsidRPr="00B2514F" w:rsidSect="00B2514F">
      <w:headerReference w:type="default" r:id="rId15"/>
      <w:footerReference w:type="default" r:id="rId16"/>
      <w:headerReference w:type="first" r:id="rId17"/>
      <w:footerReference w:type="first" r:id="rId18"/>
      <w:type w:val="continuous"/>
      <w:pgSz w:w="11906" w:h="16838"/>
      <w:pgMar w:top="1440" w:right="1800" w:bottom="1440" w:left="180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53" w:rsidRDefault="00334053" w:rsidP="007135AB">
      <w:pPr>
        <w:spacing w:after="0" w:line="240" w:lineRule="auto"/>
      </w:pPr>
      <w:r>
        <w:separator/>
      </w:r>
    </w:p>
  </w:endnote>
  <w:endnote w:type="continuationSeparator" w:id="0">
    <w:p w:rsidR="00334053" w:rsidRDefault="00334053" w:rsidP="0071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842435"/>
      <w:docPartObj>
        <w:docPartGallery w:val="Page Numbers (Bottom of Page)"/>
        <w:docPartUnique/>
      </w:docPartObj>
    </w:sdtPr>
    <w:sdtEndPr>
      <w:rPr>
        <w:noProof/>
      </w:rPr>
    </w:sdtEndPr>
    <w:sdtContent>
      <w:p w:rsidR="006E7522" w:rsidRDefault="006E7522">
        <w:pPr>
          <w:pStyle w:val="Footer"/>
          <w:jc w:val="center"/>
        </w:pPr>
        <w:r>
          <w:fldChar w:fldCharType="begin"/>
        </w:r>
        <w:r>
          <w:instrText xml:space="preserve"> PAGE   \* MERGEFORMAT </w:instrText>
        </w:r>
        <w:r>
          <w:fldChar w:fldCharType="separate"/>
        </w:r>
        <w:r w:rsidR="00A0138E">
          <w:rPr>
            <w:noProof/>
          </w:rPr>
          <w:t>11</w:t>
        </w:r>
        <w:r>
          <w:rPr>
            <w:noProof/>
          </w:rPr>
          <w:fldChar w:fldCharType="end"/>
        </w:r>
      </w:p>
    </w:sdtContent>
  </w:sdt>
  <w:p w:rsidR="006E7522" w:rsidRDefault="006E7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22" w:rsidRDefault="006E7522">
    <w:pPr>
      <w:pStyle w:val="Footer"/>
      <w:jc w:val="center"/>
    </w:pPr>
  </w:p>
  <w:p w:rsidR="006E7522" w:rsidRDefault="006E7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53" w:rsidRDefault="00334053" w:rsidP="007135AB">
      <w:pPr>
        <w:spacing w:after="0" w:line="240" w:lineRule="auto"/>
      </w:pPr>
      <w:r>
        <w:separator/>
      </w:r>
    </w:p>
  </w:footnote>
  <w:footnote w:type="continuationSeparator" w:id="0">
    <w:p w:rsidR="00334053" w:rsidRDefault="00334053" w:rsidP="00713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22" w:rsidRDefault="006E7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22" w:rsidRDefault="006E7522">
    <w:pPr>
      <w:pStyle w:val="Header"/>
    </w:pPr>
    <w:r>
      <w:rPr>
        <w:noProof/>
        <w:lang w:eastAsia="en-GB"/>
      </w:rPr>
      <w:drawing>
        <wp:anchor distT="0" distB="0" distL="114300" distR="114300" simplePos="0" relativeHeight="251659264" behindDoc="0" locked="0" layoutInCell="1" allowOverlap="1" wp14:anchorId="24858230" wp14:editId="30E02C8C">
          <wp:simplePos x="0" y="0"/>
          <wp:positionH relativeFrom="column">
            <wp:posOffset>3681730</wp:posOffset>
          </wp:positionH>
          <wp:positionV relativeFrom="paragraph">
            <wp:posOffset>114935</wp:posOffset>
          </wp:positionV>
          <wp:extent cx="1850400" cy="73800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400" cy="73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AB0F13"/>
    <w:multiLevelType w:val="hybridMultilevel"/>
    <w:tmpl w:val="5CBAC93C"/>
    <w:lvl w:ilvl="0" w:tplc="A6F469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6264A"/>
    <w:multiLevelType w:val="hybridMultilevel"/>
    <w:tmpl w:val="37DE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23FAD"/>
    <w:multiLevelType w:val="hybridMultilevel"/>
    <w:tmpl w:val="F5A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955019"/>
    <w:multiLevelType w:val="hybridMultilevel"/>
    <w:tmpl w:val="2D54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8B1312"/>
    <w:multiLevelType w:val="hybridMultilevel"/>
    <w:tmpl w:val="93C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A7D74"/>
    <w:multiLevelType w:val="hybridMultilevel"/>
    <w:tmpl w:val="33C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41D50"/>
    <w:multiLevelType w:val="hybridMultilevel"/>
    <w:tmpl w:val="9E189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8895C67"/>
    <w:multiLevelType w:val="hybridMultilevel"/>
    <w:tmpl w:val="CFB87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29A4424A"/>
    <w:multiLevelType w:val="hybridMultilevel"/>
    <w:tmpl w:val="BFA4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A933B8"/>
    <w:multiLevelType w:val="hybridMultilevel"/>
    <w:tmpl w:val="BFA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4F4275"/>
    <w:multiLevelType w:val="hybridMultilevel"/>
    <w:tmpl w:val="63D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DD4A79"/>
    <w:multiLevelType w:val="hybridMultilevel"/>
    <w:tmpl w:val="9BAC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1D3DAD"/>
    <w:multiLevelType w:val="hybridMultilevel"/>
    <w:tmpl w:val="B95A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937633"/>
    <w:multiLevelType w:val="hybridMultilevel"/>
    <w:tmpl w:val="72B6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56D07"/>
    <w:multiLevelType w:val="hybridMultilevel"/>
    <w:tmpl w:val="C31E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843147"/>
    <w:multiLevelType w:val="hybridMultilevel"/>
    <w:tmpl w:val="A92C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F1D2A"/>
    <w:multiLevelType w:val="hybridMultilevel"/>
    <w:tmpl w:val="0A746EF2"/>
    <w:lvl w:ilvl="0" w:tplc="A8FAEFC2">
      <w:start w:val="1"/>
      <w:numFmt w:val="bullet"/>
      <w:lvlText w:val=""/>
      <w:lvlJc w:val="left"/>
      <w:pPr>
        <w:tabs>
          <w:tab w:val="num" w:pos="720"/>
        </w:tabs>
        <w:ind w:left="720" w:hanging="360"/>
      </w:pPr>
      <w:rPr>
        <w:rFonts w:ascii="Wingdings" w:hAnsi="Wingdings" w:hint="default"/>
      </w:rPr>
    </w:lvl>
    <w:lvl w:ilvl="1" w:tplc="9CA4C188" w:tentative="1">
      <w:start w:val="1"/>
      <w:numFmt w:val="bullet"/>
      <w:lvlText w:val=""/>
      <w:lvlJc w:val="left"/>
      <w:pPr>
        <w:tabs>
          <w:tab w:val="num" w:pos="1440"/>
        </w:tabs>
        <w:ind w:left="1440" w:hanging="360"/>
      </w:pPr>
      <w:rPr>
        <w:rFonts w:ascii="Wingdings" w:hAnsi="Wingdings" w:hint="default"/>
      </w:rPr>
    </w:lvl>
    <w:lvl w:ilvl="2" w:tplc="F4DC1CF2" w:tentative="1">
      <w:start w:val="1"/>
      <w:numFmt w:val="bullet"/>
      <w:lvlText w:val=""/>
      <w:lvlJc w:val="left"/>
      <w:pPr>
        <w:tabs>
          <w:tab w:val="num" w:pos="2160"/>
        </w:tabs>
        <w:ind w:left="2160" w:hanging="360"/>
      </w:pPr>
      <w:rPr>
        <w:rFonts w:ascii="Wingdings" w:hAnsi="Wingdings" w:hint="default"/>
      </w:rPr>
    </w:lvl>
    <w:lvl w:ilvl="3" w:tplc="F4F2A784" w:tentative="1">
      <w:start w:val="1"/>
      <w:numFmt w:val="bullet"/>
      <w:lvlText w:val=""/>
      <w:lvlJc w:val="left"/>
      <w:pPr>
        <w:tabs>
          <w:tab w:val="num" w:pos="2880"/>
        </w:tabs>
        <w:ind w:left="2880" w:hanging="360"/>
      </w:pPr>
      <w:rPr>
        <w:rFonts w:ascii="Wingdings" w:hAnsi="Wingdings" w:hint="default"/>
      </w:rPr>
    </w:lvl>
    <w:lvl w:ilvl="4" w:tplc="1F1E367A" w:tentative="1">
      <w:start w:val="1"/>
      <w:numFmt w:val="bullet"/>
      <w:lvlText w:val=""/>
      <w:lvlJc w:val="left"/>
      <w:pPr>
        <w:tabs>
          <w:tab w:val="num" w:pos="3600"/>
        </w:tabs>
        <w:ind w:left="3600" w:hanging="360"/>
      </w:pPr>
      <w:rPr>
        <w:rFonts w:ascii="Wingdings" w:hAnsi="Wingdings" w:hint="default"/>
      </w:rPr>
    </w:lvl>
    <w:lvl w:ilvl="5" w:tplc="402EB2F2" w:tentative="1">
      <w:start w:val="1"/>
      <w:numFmt w:val="bullet"/>
      <w:lvlText w:val=""/>
      <w:lvlJc w:val="left"/>
      <w:pPr>
        <w:tabs>
          <w:tab w:val="num" w:pos="4320"/>
        </w:tabs>
        <w:ind w:left="4320" w:hanging="360"/>
      </w:pPr>
      <w:rPr>
        <w:rFonts w:ascii="Wingdings" w:hAnsi="Wingdings" w:hint="default"/>
      </w:rPr>
    </w:lvl>
    <w:lvl w:ilvl="6" w:tplc="70B41D98" w:tentative="1">
      <w:start w:val="1"/>
      <w:numFmt w:val="bullet"/>
      <w:lvlText w:val=""/>
      <w:lvlJc w:val="left"/>
      <w:pPr>
        <w:tabs>
          <w:tab w:val="num" w:pos="5040"/>
        </w:tabs>
        <w:ind w:left="5040" w:hanging="360"/>
      </w:pPr>
      <w:rPr>
        <w:rFonts w:ascii="Wingdings" w:hAnsi="Wingdings" w:hint="default"/>
      </w:rPr>
    </w:lvl>
    <w:lvl w:ilvl="7" w:tplc="C7348C8A" w:tentative="1">
      <w:start w:val="1"/>
      <w:numFmt w:val="bullet"/>
      <w:lvlText w:val=""/>
      <w:lvlJc w:val="left"/>
      <w:pPr>
        <w:tabs>
          <w:tab w:val="num" w:pos="5760"/>
        </w:tabs>
        <w:ind w:left="5760" w:hanging="360"/>
      </w:pPr>
      <w:rPr>
        <w:rFonts w:ascii="Wingdings" w:hAnsi="Wingdings" w:hint="default"/>
      </w:rPr>
    </w:lvl>
    <w:lvl w:ilvl="8" w:tplc="34D0A11C" w:tentative="1">
      <w:start w:val="1"/>
      <w:numFmt w:val="bullet"/>
      <w:lvlText w:val=""/>
      <w:lvlJc w:val="left"/>
      <w:pPr>
        <w:tabs>
          <w:tab w:val="num" w:pos="6480"/>
        </w:tabs>
        <w:ind w:left="6480" w:hanging="360"/>
      </w:pPr>
      <w:rPr>
        <w:rFonts w:ascii="Wingdings" w:hAnsi="Wingdings" w:hint="default"/>
      </w:rPr>
    </w:lvl>
  </w:abstractNum>
  <w:abstractNum w:abstractNumId="19">
    <w:nsid w:val="57AB7F8F"/>
    <w:multiLevelType w:val="hybridMultilevel"/>
    <w:tmpl w:val="C90A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B2AB2"/>
    <w:multiLevelType w:val="hybridMultilevel"/>
    <w:tmpl w:val="64F21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9097288"/>
    <w:multiLevelType w:val="hybridMultilevel"/>
    <w:tmpl w:val="3D0AF8CE"/>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2">
    <w:nsid w:val="63A918C6"/>
    <w:multiLevelType w:val="hybridMultilevel"/>
    <w:tmpl w:val="2508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93D33"/>
    <w:multiLevelType w:val="hybridMultilevel"/>
    <w:tmpl w:val="1B482278"/>
    <w:lvl w:ilvl="0" w:tplc="BB704AD2">
      <w:start w:val="1"/>
      <w:numFmt w:val="bullet"/>
      <w:lvlText w:val=""/>
      <w:lvlJc w:val="left"/>
      <w:pPr>
        <w:tabs>
          <w:tab w:val="num" w:pos="720"/>
        </w:tabs>
        <w:ind w:left="720" w:hanging="360"/>
      </w:pPr>
      <w:rPr>
        <w:rFonts w:ascii="Wingdings" w:hAnsi="Wingdings" w:hint="default"/>
      </w:rPr>
    </w:lvl>
    <w:lvl w:ilvl="1" w:tplc="D0A6F446" w:tentative="1">
      <w:start w:val="1"/>
      <w:numFmt w:val="bullet"/>
      <w:lvlText w:val=""/>
      <w:lvlJc w:val="left"/>
      <w:pPr>
        <w:tabs>
          <w:tab w:val="num" w:pos="1440"/>
        </w:tabs>
        <w:ind w:left="1440" w:hanging="360"/>
      </w:pPr>
      <w:rPr>
        <w:rFonts w:ascii="Wingdings" w:hAnsi="Wingdings" w:hint="default"/>
      </w:rPr>
    </w:lvl>
    <w:lvl w:ilvl="2" w:tplc="B1A47D82" w:tentative="1">
      <w:start w:val="1"/>
      <w:numFmt w:val="bullet"/>
      <w:lvlText w:val=""/>
      <w:lvlJc w:val="left"/>
      <w:pPr>
        <w:tabs>
          <w:tab w:val="num" w:pos="2160"/>
        </w:tabs>
        <w:ind w:left="2160" w:hanging="360"/>
      </w:pPr>
      <w:rPr>
        <w:rFonts w:ascii="Wingdings" w:hAnsi="Wingdings" w:hint="default"/>
      </w:rPr>
    </w:lvl>
    <w:lvl w:ilvl="3" w:tplc="6A78EDF8" w:tentative="1">
      <w:start w:val="1"/>
      <w:numFmt w:val="bullet"/>
      <w:lvlText w:val=""/>
      <w:lvlJc w:val="left"/>
      <w:pPr>
        <w:tabs>
          <w:tab w:val="num" w:pos="2880"/>
        </w:tabs>
        <w:ind w:left="2880" w:hanging="360"/>
      </w:pPr>
      <w:rPr>
        <w:rFonts w:ascii="Wingdings" w:hAnsi="Wingdings" w:hint="default"/>
      </w:rPr>
    </w:lvl>
    <w:lvl w:ilvl="4" w:tplc="D2B644CC" w:tentative="1">
      <w:start w:val="1"/>
      <w:numFmt w:val="bullet"/>
      <w:lvlText w:val=""/>
      <w:lvlJc w:val="left"/>
      <w:pPr>
        <w:tabs>
          <w:tab w:val="num" w:pos="3600"/>
        </w:tabs>
        <w:ind w:left="3600" w:hanging="360"/>
      </w:pPr>
      <w:rPr>
        <w:rFonts w:ascii="Wingdings" w:hAnsi="Wingdings" w:hint="default"/>
      </w:rPr>
    </w:lvl>
    <w:lvl w:ilvl="5" w:tplc="D7321B36" w:tentative="1">
      <w:start w:val="1"/>
      <w:numFmt w:val="bullet"/>
      <w:lvlText w:val=""/>
      <w:lvlJc w:val="left"/>
      <w:pPr>
        <w:tabs>
          <w:tab w:val="num" w:pos="4320"/>
        </w:tabs>
        <w:ind w:left="4320" w:hanging="360"/>
      </w:pPr>
      <w:rPr>
        <w:rFonts w:ascii="Wingdings" w:hAnsi="Wingdings" w:hint="default"/>
      </w:rPr>
    </w:lvl>
    <w:lvl w:ilvl="6" w:tplc="49D27C1E" w:tentative="1">
      <w:start w:val="1"/>
      <w:numFmt w:val="bullet"/>
      <w:lvlText w:val=""/>
      <w:lvlJc w:val="left"/>
      <w:pPr>
        <w:tabs>
          <w:tab w:val="num" w:pos="5040"/>
        </w:tabs>
        <w:ind w:left="5040" w:hanging="360"/>
      </w:pPr>
      <w:rPr>
        <w:rFonts w:ascii="Wingdings" w:hAnsi="Wingdings" w:hint="default"/>
      </w:rPr>
    </w:lvl>
    <w:lvl w:ilvl="7" w:tplc="1200DCE2" w:tentative="1">
      <w:start w:val="1"/>
      <w:numFmt w:val="bullet"/>
      <w:lvlText w:val=""/>
      <w:lvlJc w:val="left"/>
      <w:pPr>
        <w:tabs>
          <w:tab w:val="num" w:pos="5760"/>
        </w:tabs>
        <w:ind w:left="5760" w:hanging="360"/>
      </w:pPr>
      <w:rPr>
        <w:rFonts w:ascii="Wingdings" w:hAnsi="Wingdings" w:hint="default"/>
      </w:rPr>
    </w:lvl>
    <w:lvl w:ilvl="8" w:tplc="8DCEBFE8" w:tentative="1">
      <w:start w:val="1"/>
      <w:numFmt w:val="bullet"/>
      <w:lvlText w:val=""/>
      <w:lvlJc w:val="left"/>
      <w:pPr>
        <w:tabs>
          <w:tab w:val="num" w:pos="6480"/>
        </w:tabs>
        <w:ind w:left="6480" w:hanging="360"/>
      </w:pPr>
      <w:rPr>
        <w:rFonts w:ascii="Wingdings" w:hAnsi="Wingdings" w:hint="default"/>
      </w:rPr>
    </w:lvl>
  </w:abstractNum>
  <w:abstractNum w:abstractNumId="24">
    <w:nsid w:val="66510527"/>
    <w:multiLevelType w:val="hybridMultilevel"/>
    <w:tmpl w:val="92180CF4"/>
    <w:lvl w:ilvl="0" w:tplc="47F02EB4">
      <w:start w:val="1"/>
      <w:numFmt w:val="bullet"/>
      <w:lvlText w:val=""/>
      <w:lvlJc w:val="left"/>
      <w:pPr>
        <w:tabs>
          <w:tab w:val="num" w:pos="720"/>
        </w:tabs>
        <w:ind w:left="720" w:hanging="360"/>
      </w:pPr>
      <w:rPr>
        <w:rFonts w:ascii="Wingdings" w:hAnsi="Wingdings" w:hint="default"/>
      </w:rPr>
    </w:lvl>
    <w:lvl w:ilvl="1" w:tplc="360CC64E" w:tentative="1">
      <w:start w:val="1"/>
      <w:numFmt w:val="bullet"/>
      <w:lvlText w:val=""/>
      <w:lvlJc w:val="left"/>
      <w:pPr>
        <w:tabs>
          <w:tab w:val="num" w:pos="1440"/>
        </w:tabs>
        <w:ind w:left="1440" w:hanging="360"/>
      </w:pPr>
      <w:rPr>
        <w:rFonts w:ascii="Wingdings" w:hAnsi="Wingdings" w:hint="default"/>
      </w:rPr>
    </w:lvl>
    <w:lvl w:ilvl="2" w:tplc="1964618A" w:tentative="1">
      <w:start w:val="1"/>
      <w:numFmt w:val="bullet"/>
      <w:lvlText w:val=""/>
      <w:lvlJc w:val="left"/>
      <w:pPr>
        <w:tabs>
          <w:tab w:val="num" w:pos="2160"/>
        </w:tabs>
        <w:ind w:left="2160" w:hanging="360"/>
      </w:pPr>
      <w:rPr>
        <w:rFonts w:ascii="Wingdings" w:hAnsi="Wingdings" w:hint="default"/>
      </w:rPr>
    </w:lvl>
    <w:lvl w:ilvl="3" w:tplc="6F28EDEE" w:tentative="1">
      <w:start w:val="1"/>
      <w:numFmt w:val="bullet"/>
      <w:lvlText w:val=""/>
      <w:lvlJc w:val="left"/>
      <w:pPr>
        <w:tabs>
          <w:tab w:val="num" w:pos="2880"/>
        </w:tabs>
        <w:ind w:left="2880" w:hanging="360"/>
      </w:pPr>
      <w:rPr>
        <w:rFonts w:ascii="Wingdings" w:hAnsi="Wingdings" w:hint="default"/>
      </w:rPr>
    </w:lvl>
    <w:lvl w:ilvl="4" w:tplc="7504A900" w:tentative="1">
      <w:start w:val="1"/>
      <w:numFmt w:val="bullet"/>
      <w:lvlText w:val=""/>
      <w:lvlJc w:val="left"/>
      <w:pPr>
        <w:tabs>
          <w:tab w:val="num" w:pos="3600"/>
        </w:tabs>
        <w:ind w:left="3600" w:hanging="360"/>
      </w:pPr>
      <w:rPr>
        <w:rFonts w:ascii="Wingdings" w:hAnsi="Wingdings" w:hint="default"/>
      </w:rPr>
    </w:lvl>
    <w:lvl w:ilvl="5" w:tplc="1390BDB0" w:tentative="1">
      <w:start w:val="1"/>
      <w:numFmt w:val="bullet"/>
      <w:lvlText w:val=""/>
      <w:lvlJc w:val="left"/>
      <w:pPr>
        <w:tabs>
          <w:tab w:val="num" w:pos="4320"/>
        </w:tabs>
        <w:ind w:left="4320" w:hanging="360"/>
      </w:pPr>
      <w:rPr>
        <w:rFonts w:ascii="Wingdings" w:hAnsi="Wingdings" w:hint="default"/>
      </w:rPr>
    </w:lvl>
    <w:lvl w:ilvl="6" w:tplc="92A67BF4" w:tentative="1">
      <w:start w:val="1"/>
      <w:numFmt w:val="bullet"/>
      <w:lvlText w:val=""/>
      <w:lvlJc w:val="left"/>
      <w:pPr>
        <w:tabs>
          <w:tab w:val="num" w:pos="5040"/>
        </w:tabs>
        <w:ind w:left="5040" w:hanging="360"/>
      </w:pPr>
      <w:rPr>
        <w:rFonts w:ascii="Wingdings" w:hAnsi="Wingdings" w:hint="default"/>
      </w:rPr>
    </w:lvl>
    <w:lvl w:ilvl="7" w:tplc="A1F835C8" w:tentative="1">
      <w:start w:val="1"/>
      <w:numFmt w:val="bullet"/>
      <w:lvlText w:val=""/>
      <w:lvlJc w:val="left"/>
      <w:pPr>
        <w:tabs>
          <w:tab w:val="num" w:pos="5760"/>
        </w:tabs>
        <w:ind w:left="5760" w:hanging="360"/>
      </w:pPr>
      <w:rPr>
        <w:rFonts w:ascii="Wingdings" w:hAnsi="Wingdings" w:hint="default"/>
      </w:rPr>
    </w:lvl>
    <w:lvl w:ilvl="8" w:tplc="C6DEBC8C" w:tentative="1">
      <w:start w:val="1"/>
      <w:numFmt w:val="bullet"/>
      <w:lvlText w:val=""/>
      <w:lvlJc w:val="left"/>
      <w:pPr>
        <w:tabs>
          <w:tab w:val="num" w:pos="6480"/>
        </w:tabs>
        <w:ind w:left="6480" w:hanging="360"/>
      </w:pPr>
      <w:rPr>
        <w:rFonts w:ascii="Wingdings" w:hAnsi="Wingdings" w:hint="default"/>
      </w:rPr>
    </w:lvl>
  </w:abstractNum>
  <w:abstractNum w:abstractNumId="25">
    <w:nsid w:val="6B4203A3"/>
    <w:multiLevelType w:val="hybridMultilevel"/>
    <w:tmpl w:val="C988F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1FE7F11"/>
    <w:multiLevelType w:val="hybridMultilevel"/>
    <w:tmpl w:val="1140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4D0016"/>
    <w:multiLevelType w:val="hybridMultilevel"/>
    <w:tmpl w:val="ED6ABECA"/>
    <w:lvl w:ilvl="0" w:tplc="03924D16">
      <w:start w:val="1"/>
      <w:numFmt w:val="bullet"/>
      <w:lvlText w:val=""/>
      <w:lvlJc w:val="left"/>
      <w:pPr>
        <w:tabs>
          <w:tab w:val="num" w:pos="720"/>
        </w:tabs>
        <w:ind w:left="720" w:hanging="360"/>
      </w:pPr>
      <w:rPr>
        <w:rFonts w:ascii="Wingdings" w:hAnsi="Wingdings" w:hint="default"/>
      </w:rPr>
    </w:lvl>
    <w:lvl w:ilvl="1" w:tplc="BDBA373A" w:tentative="1">
      <w:start w:val="1"/>
      <w:numFmt w:val="bullet"/>
      <w:lvlText w:val=""/>
      <w:lvlJc w:val="left"/>
      <w:pPr>
        <w:tabs>
          <w:tab w:val="num" w:pos="1440"/>
        </w:tabs>
        <w:ind w:left="1440" w:hanging="360"/>
      </w:pPr>
      <w:rPr>
        <w:rFonts w:ascii="Wingdings" w:hAnsi="Wingdings" w:hint="default"/>
      </w:rPr>
    </w:lvl>
    <w:lvl w:ilvl="2" w:tplc="F38E5586" w:tentative="1">
      <w:start w:val="1"/>
      <w:numFmt w:val="bullet"/>
      <w:lvlText w:val=""/>
      <w:lvlJc w:val="left"/>
      <w:pPr>
        <w:tabs>
          <w:tab w:val="num" w:pos="2160"/>
        </w:tabs>
        <w:ind w:left="2160" w:hanging="360"/>
      </w:pPr>
      <w:rPr>
        <w:rFonts w:ascii="Wingdings" w:hAnsi="Wingdings" w:hint="default"/>
      </w:rPr>
    </w:lvl>
    <w:lvl w:ilvl="3" w:tplc="833E4AE8" w:tentative="1">
      <w:start w:val="1"/>
      <w:numFmt w:val="bullet"/>
      <w:lvlText w:val=""/>
      <w:lvlJc w:val="left"/>
      <w:pPr>
        <w:tabs>
          <w:tab w:val="num" w:pos="2880"/>
        </w:tabs>
        <w:ind w:left="2880" w:hanging="360"/>
      </w:pPr>
      <w:rPr>
        <w:rFonts w:ascii="Wingdings" w:hAnsi="Wingdings" w:hint="default"/>
      </w:rPr>
    </w:lvl>
    <w:lvl w:ilvl="4" w:tplc="11729432" w:tentative="1">
      <w:start w:val="1"/>
      <w:numFmt w:val="bullet"/>
      <w:lvlText w:val=""/>
      <w:lvlJc w:val="left"/>
      <w:pPr>
        <w:tabs>
          <w:tab w:val="num" w:pos="3600"/>
        </w:tabs>
        <w:ind w:left="3600" w:hanging="360"/>
      </w:pPr>
      <w:rPr>
        <w:rFonts w:ascii="Wingdings" w:hAnsi="Wingdings" w:hint="default"/>
      </w:rPr>
    </w:lvl>
    <w:lvl w:ilvl="5" w:tplc="EDA0DAB2" w:tentative="1">
      <w:start w:val="1"/>
      <w:numFmt w:val="bullet"/>
      <w:lvlText w:val=""/>
      <w:lvlJc w:val="left"/>
      <w:pPr>
        <w:tabs>
          <w:tab w:val="num" w:pos="4320"/>
        </w:tabs>
        <w:ind w:left="4320" w:hanging="360"/>
      </w:pPr>
      <w:rPr>
        <w:rFonts w:ascii="Wingdings" w:hAnsi="Wingdings" w:hint="default"/>
      </w:rPr>
    </w:lvl>
    <w:lvl w:ilvl="6" w:tplc="9650275E" w:tentative="1">
      <w:start w:val="1"/>
      <w:numFmt w:val="bullet"/>
      <w:lvlText w:val=""/>
      <w:lvlJc w:val="left"/>
      <w:pPr>
        <w:tabs>
          <w:tab w:val="num" w:pos="5040"/>
        </w:tabs>
        <w:ind w:left="5040" w:hanging="360"/>
      </w:pPr>
      <w:rPr>
        <w:rFonts w:ascii="Wingdings" w:hAnsi="Wingdings" w:hint="default"/>
      </w:rPr>
    </w:lvl>
    <w:lvl w:ilvl="7" w:tplc="9D9601CE" w:tentative="1">
      <w:start w:val="1"/>
      <w:numFmt w:val="bullet"/>
      <w:lvlText w:val=""/>
      <w:lvlJc w:val="left"/>
      <w:pPr>
        <w:tabs>
          <w:tab w:val="num" w:pos="5760"/>
        </w:tabs>
        <w:ind w:left="5760" w:hanging="360"/>
      </w:pPr>
      <w:rPr>
        <w:rFonts w:ascii="Wingdings" w:hAnsi="Wingdings" w:hint="default"/>
      </w:rPr>
    </w:lvl>
    <w:lvl w:ilvl="8" w:tplc="A4224AB4" w:tentative="1">
      <w:start w:val="1"/>
      <w:numFmt w:val="bullet"/>
      <w:lvlText w:val=""/>
      <w:lvlJc w:val="left"/>
      <w:pPr>
        <w:tabs>
          <w:tab w:val="num" w:pos="6480"/>
        </w:tabs>
        <w:ind w:left="6480" w:hanging="360"/>
      </w:pPr>
      <w:rPr>
        <w:rFonts w:ascii="Wingdings" w:hAnsi="Wingdings" w:hint="default"/>
      </w:rPr>
    </w:lvl>
  </w:abstractNum>
  <w:abstractNum w:abstractNumId="28">
    <w:nsid w:val="778D2527"/>
    <w:multiLevelType w:val="hybridMultilevel"/>
    <w:tmpl w:val="00C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594037"/>
    <w:multiLevelType w:val="hybridMultilevel"/>
    <w:tmpl w:val="760E6D02"/>
    <w:lvl w:ilvl="0" w:tplc="DE46AEA4">
      <w:start w:val="3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BF119B"/>
    <w:multiLevelType w:val="hybridMultilevel"/>
    <w:tmpl w:val="1670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D63A2"/>
    <w:multiLevelType w:val="hybridMultilevel"/>
    <w:tmpl w:val="08C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4"/>
  </w:num>
  <w:num w:numId="5">
    <w:abstractNumId w:val="21"/>
  </w:num>
  <w:num w:numId="6">
    <w:abstractNumId w:val="9"/>
  </w:num>
  <w:num w:numId="7">
    <w:abstractNumId w:val="8"/>
  </w:num>
  <w:num w:numId="8">
    <w:abstractNumId w:val="4"/>
  </w:num>
  <w:num w:numId="9">
    <w:abstractNumId w:val="27"/>
  </w:num>
  <w:num w:numId="10">
    <w:abstractNumId w:val="23"/>
  </w:num>
  <w:num w:numId="11">
    <w:abstractNumId w:val="10"/>
  </w:num>
  <w:num w:numId="12">
    <w:abstractNumId w:val="17"/>
  </w:num>
  <w:num w:numId="13">
    <w:abstractNumId w:val="25"/>
  </w:num>
  <w:num w:numId="14">
    <w:abstractNumId w:val="15"/>
  </w:num>
  <w:num w:numId="15">
    <w:abstractNumId w:val="5"/>
  </w:num>
  <w:num w:numId="16">
    <w:abstractNumId w:val="31"/>
  </w:num>
  <w:num w:numId="17">
    <w:abstractNumId w:val="6"/>
  </w:num>
  <w:num w:numId="18">
    <w:abstractNumId w:val="13"/>
  </w:num>
  <w:num w:numId="19">
    <w:abstractNumId w:val="26"/>
  </w:num>
  <w:num w:numId="20">
    <w:abstractNumId w:val="11"/>
  </w:num>
  <w:num w:numId="21">
    <w:abstractNumId w:val="16"/>
  </w:num>
  <w:num w:numId="22">
    <w:abstractNumId w:val="28"/>
  </w:num>
  <w:num w:numId="23">
    <w:abstractNumId w:val="0"/>
  </w:num>
  <w:num w:numId="24">
    <w:abstractNumId w:val="1"/>
  </w:num>
  <w:num w:numId="25">
    <w:abstractNumId w:val="22"/>
  </w:num>
  <w:num w:numId="26">
    <w:abstractNumId w:val="19"/>
  </w:num>
  <w:num w:numId="27">
    <w:abstractNumId w:val="30"/>
  </w:num>
  <w:num w:numId="28">
    <w:abstractNumId w:val="7"/>
  </w:num>
  <w:num w:numId="29">
    <w:abstractNumId w:val="3"/>
  </w:num>
  <w:num w:numId="30">
    <w:abstractNumId w:val="12"/>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D3"/>
    <w:rsid w:val="000000D4"/>
    <w:rsid w:val="00000F71"/>
    <w:rsid w:val="00000FDB"/>
    <w:rsid w:val="00001F15"/>
    <w:rsid w:val="00004CAC"/>
    <w:rsid w:val="00010B9D"/>
    <w:rsid w:val="00011F51"/>
    <w:rsid w:val="000411FC"/>
    <w:rsid w:val="00043AE0"/>
    <w:rsid w:val="000456B2"/>
    <w:rsid w:val="00051AB0"/>
    <w:rsid w:val="000762A8"/>
    <w:rsid w:val="00082604"/>
    <w:rsid w:val="00083CB9"/>
    <w:rsid w:val="00085724"/>
    <w:rsid w:val="00086843"/>
    <w:rsid w:val="000877D1"/>
    <w:rsid w:val="00087A32"/>
    <w:rsid w:val="00091204"/>
    <w:rsid w:val="000936DC"/>
    <w:rsid w:val="00093D3A"/>
    <w:rsid w:val="000958C8"/>
    <w:rsid w:val="00095BCC"/>
    <w:rsid w:val="00096053"/>
    <w:rsid w:val="000A0816"/>
    <w:rsid w:val="000A3B2C"/>
    <w:rsid w:val="000B39F2"/>
    <w:rsid w:val="000B5A6E"/>
    <w:rsid w:val="000B5A79"/>
    <w:rsid w:val="000D1130"/>
    <w:rsid w:val="000E5DB3"/>
    <w:rsid w:val="000F062B"/>
    <w:rsid w:val="000F20D5"/>
    <w:rsid w:val="000F5722"/>
    <w:rsid w:val="000F6B7C"/>
    <w:rsid w:val="00102DF6"/>
    <w:rsid w:val="00104630"/>
    <w:rsid w:val="0010487A"/>
    <w:rsid w:val="00106BE9"/>
    <w:rsid w:val="001112FB"/>
    <w:rsid w:val="00114BCA"/>
    <w:rsid w:val="00114CF8"/>
    <w:rsid w:val="0011524E"/>
    <w:rsid w:val="001219F7"/>
    <w:rsid w:val="00130734"/>
    <w:rsid w:val="00133516"/>
    <w:rsid w:val="00133D22"/>
    <w:rsid w:val="0013435A"/>
    <w:rsid w:val="001433B8"/>
    <w:rsid w:val="001443D9"/>
    <w:rsid w:val="00156236"/>
    <w:rsid w:val="0016094B"/>
    <w:rsid w:val="00162319"/>
    <w:rsid w:val="00164EE3"/>
    <w:rsid w:val="00166CF6"/>
    <w:rsid w:val="00175EAB"/>
    <w:rsid w:val="00191EE5"/>
    <w:rsid w:val="001966FB"/>
    <w:rsid w:val="00197201"/>
    <w:rsid w:val="001A2048"/>
    <w:rsid w:val="001A4288"/>
    <w:rsid w:val="001A477B"/>
    <w:rsid w:val="001B6D29"/>
    <w:rsid w:val="001C36EA"/>
    <w:rsid w:val="001C5539"/>
    <w:rsid w:val="001C6CF2"/>
    <w:rsid w:val="001D4A21"/>
    <w:rsid w:val="001D5611"/>
    <w:rsid w:val="001D78E3"/>
    <w:rsid w:val="001E7088"/>
    <w:rsid w:val="001E7DB9"/>
    <w:rsid w:val="001F2BC2"/>
    <w:rsid w:val="002020A1"/>
    <w:rsid w:val="0020306D"/>
    <w:rsid w:val="00212DCD"/>
    <w:rsid w:val="00215C9F"/>
    <w:rsid w:val="00216CD8"/>
    <w:rsid w:val="00217663"/>
    <w:rsid w:val="00225B56"/>
    <w:rsid w:val="0023431A"/>
    <w:rsid w:val="00242721"/>
    <w:rsid w:val="00242A7A"/>
    <w:rsid w:val="00243BE2"/>
    <w:rsid w:val="002533D3"/>
    <w:rsid w:val="00260108"/>
    <w:rsid w:val="002649EB"/>
    <w:rsid w:val="00265063"/>
    <w:rsid w:val="0027204E"/>
    <w:rsid w:val="00281160"/>
    <w:rsid w:val="0029160E"/>
    <w:rsid w:val="00291E60"/>
    <w:rsid w:val="002925B1"/>
    <w:rsid w:val="00293E07"/>
    <w:rsid w:val="002A03FC"/>
    <w:rsid w:val="002A1F6E"/>
    <w:rsid w:val="002A62BB"/>
    <w:rsid w:val="002B253B"/>
    <w:rsid w:val="002B6742"/>
    <w:rsid w:val="002C2442"/>
    <w:rsid w:val="002C4E8D"/>
    <w:rsid w:val="002D157C"/>
    <w:rsid w:val="002D1A79"/>
    <w:rsid w:val="002D43BE"/>
    <w:rsid w:val="002E4479"/>
    <w:rsid w:val="002F059B"/>
    <w:rsid w:val="002F0EF4"/>
    <w:rsid w:val="002F11C6"/>
    <w:rsid w:val="002F4639"/>
    <w:rsid w:val="002F6304"/>
    <w:rsid w:val="003042D1"/>
    <w:rsid w:val="003100C9"/>
    <w:rsid w:val="00310B6E"/>
    <w:rsid w:val="00315966"/>
    <w:rsid w:val="0032171F"/>
    <w:rsid w:val="0032792F"/>
    <w:rsid w:val="00334053"/>
    <w:rsid w:val="00334134"/>
    <w:rsid w:val="00337A75"/>
    <w:rsid w:val="00337B7C"/>
    <w:rsid w:val="00337C74"/>
    <w:rsid w:val="0034152A"/>
    <w:rsid w:val="003445BC"/>
    <w:rsid w:val="00351068"/>
    <w:rsid w:val="0035369E"/>
    <w:rsid w:val="003621C2"/>
    <w:rsid w:val="003704B8"/>
    <w:rsid w:val="0037441B"/>
    <w:rsid w:val="0038632E"/>
    <w:rsid w:val="00390712"/>
    <w:rsid w:val="00391826"/>
    <w:rsid w:val="00391AAA"/>
    <w:rsid w:val="00395AF5"/>
    <w:rsid w:val="003A0A7A"/>
    <w:rsid w:val="003A118C"/>
    <w:rsid w:val="003A16F8"/>
    <w:rsid w:val="003A2834"/>
    <w:rsid w:val="003A3C21"/>
    <w:rsid w:val="003B37A9"/>
    <w:rsid w:val="003C338F"/>
    <w:rsid w:val="003C64EB"/>
    <w:rsid w:val="003D0AED"/>
    <w:rsid w:val="003D0F0A"/>
    <w:rsid w:val="003D2E2F"/>
    <w:rsid w:val="003D658D"/>
    <w:rsid w:val="003E0641"/>
    <w:rsid w:val="003E36AA"/>
    <w:rsid w:val="003E6B7E"/>
    <w:rsid w:val="003E6CA0"/>
    <w:rsid w:val="003E70B3"/>
    <w:rsid w:val="003F13EF"/>
    <w:rsid w:val="003F35FA"/>
    <w:rsid w:val="003F4AE6"/>
    <w:rsid w:val="0040261C"/>
    <w:rsid w:val="00406BFA"/>
    <w:rsid w:val="00426804"/>
    <w:rsid w:val="004354BE"/>
    <w:rsid w:val="004365FB"/>
    <w:rsid w:val="00444A10"/>
    <w:rsid w:val="00447F89"/>
    <w:rsid w:val="00450B97"/>
    <w:rsid w:val="00453E61"/>
    <w:rsid w:val="00455D11"/>
    <w:rsid w:val="004624E2"/>
    <w:rsid w:val="00471F44"/>
    <w:rsid w:val="00472187"/>
    <w:rsid w:val="00472445"/>
    <w:rsid w:val="0047295F"/>
    <w:rsid w:val="00484508"/>
    <w:rsid w:val="004925F4"/>
    <w:rsid w:val="00493576"/>
    <w:rsid w:val="00495A5C"/>
    <w:rsid w:val="004978FA"/>
    <w:rsid w:val="004A1589"/>
    <w:rsid w:val="004A436E"/>
    <w:rsid w:val="004B2162"/>
    <w:rsid w:val="004C268E"/>
    <w:rsid w:val="004C60BD"/>
    <w:rsid w:val="004E241D"/>
    <w:rsid w:val="004F27F3"/>
    <w:rsid w:val="004F6327"/>
    <w:rsid w:val="0050070E"/>
    <w:rsid w:val="0050165C"/>
    <w:rsid w:val="00502085"/>
    <w:rsid w:val="005050D3"/>
    <w:rsid w:val="0050646C"/>
    <w:rsid w:val="00510366"/>
    <w:rsid w:val="00542B22"/>
    <w:rsid w:val="00554335"/>
    <w:rsid w:val="00561E00"/>
    <w:rsid w:val="00564CC2"/>
    <w:rsid w:val="005711F8"/>
    <w:rsid w:val="00571C86"/>
    <w:rsid w:val="005758F6"/>
    <w:rsid w:val="00577F4B"/>
    <w:rsid w:val="005853FD"/>
    <w:rsid w:val="00591348"/>
    <w:rsid w:val="00591A7D"/>
    <w:rsid w:val="00591DB8"/>
    <w:rsid w:val="0059358D"/>
    <w:rsid w:val="00595C67"/>
    <w:rsid w:val="005B2AF8"/>
    <w:rsid w:val="005C2011"/>
    <w:rsid w:val="005D2787"/>
    <w:rsid w:val="005D6C18"/>
    <w:rsid w:val="005E7B64"/>
    <w:rsid w:val="00601300"/>
    <w:rsid w:val="00601966"/>
    <w:rsid w:val="00607914"/>
    <w:rsid w:val="00610EE7"/>
    <w:rsid w:val="00611004"/>
    <w:rsid w:val="00615574"/>
    <w:rsid w:val="006328CC"/>
    <w:rsid w:val="00632D70"/>
    <w:rsid w:val="00640E1F"/>
    <w:rsid w:val="0064267D"/>
    <w:rsid w:val="00643D98"/>
    <w:rsid w:val="00644371"/>
    <w:rsid w:val="00644682"/>
    <w:rsid w:val="00644B8F"/>
    <w:rsid w:val="00652562"/>
    <w:rsid w:val="0065794D"/>
    <w:rsid w:val="00662CB4"/>
    <w:rsid w:val="00666089"/>
    <w:rsid w:val="006922F4"/>
    <w:rsid w:val="0069475E"/>
    <w:rsid w:val="006A0195"/>
    <w:rsid w:val="006A0242"/>
    <w:rsid w:val="006A376A"/>
    <w:rsid w:val="006B06E2"/>
    <w:rsid w:val="006C7163"/>
    <w:rsid w:val="006D0B20"/>
    <w:rsid w:val="006D260D"/>
    <w:rsid w:val="006D3086"/>
    <w:rsid w:val="006D77E2"/>
    <w:rsid w:val="006E7434"/>
    <w:rsid w:val="006E7522"/>
    <w:rsid w:val="006F2523"/>
    <w:rsid w:val="006F6216"/>
    <w:rsid w:val="00711DDA"/>
    <w:rsid w:val="007135AB"/>
    <w:rsid w:val="00737EAF"/>
    <w:rsid w:val="0074148C"/>
    <w:rsid w:val="00746C0A"/>
    <w:rsid w:val="00756F3F"/>
    <w:rsid w:val="00757775"/>
    <w:rsid w:val="00767EA9"/>
    <w:rsid w:val="00782391"/>
    <w:rsid w:val="00791F1C"/>
    <w:rsid w:val="00792CB5"/>
    <w:rsid w:val="007972B5"/>
    <w:rsid w:val="007A4516"/>
    <w:rsid w:val="007B301D"/>
    <w:rsid w:val="007B6BB8"/>
    <w:rsid w:val="007C6AA9"/>
    <w:rsid w:val="007D09FE"/>
    <w:rsid w:val="007D0EB2"/>
    <w:rsid w:val="007D132F"/>
    <w:rsid w:val="007D191C"/>
    <w:rsid w:val="007D49E9"/>
    <w:rsid w:val="007E121A"/>
    <w:rsid w:val="007E5382"/>
    <w:rsid w:val="007E6EE9"/>
    <w:rsid w:val="007E7777"/>
    <w:rsid w:val="007F2606"/>
    <w:rsid w:val="007F4F7B"/>
    <w:rsid w:val="00801E70"/>
    <w:rsid w:val="008028CE"/>
    <w:rsid w:val="00806302"/>
    <w:rsid w:val="0083451D"/>
    <w:rsid w:val="008371A5"/>
    <w:rsid w:val="008429AA"/>
    <w:rsid w:val="00852162"/>
    <w:rsid w:val="008555BB"/>
    <w:rsid w:val="00856F8F"/>
    <w:rsid w:val="00861E14"/>
    <w:rsid w:val="00862299"/>
    <w:rsid w:val="00880461"/>
    <w:rsid w:val="00881793"/>
    <w:rsid w:val="00891893"/>
    <w:rsid w:val="008A05B2"/>
    <w:rsid w:val="008A14DE"/>
    <w:rsid w:val="008A37BF"/>
    <w:rsid w:val="008A4D88"/>
    <w:rsid w:val="008B798A"/>
    <w:rsid w:val="008B7D28"/>
    <w:rsid w:val="008C1417"/>
    <w:rsid w:val="008E1485"/>
    <w:rsid w:val="008E1C27"/>
    <w:rsid w:val="008E7AF1"/>
    <w:rsid w:val="008F7321"/>
    <w:rsid w:val="0090606F"/>
    <w:rsid w:val="0091324E"/>
    <w:rsid w:val="00915F60"/>
    <w:rsid w:val="0092357D"/>
    <w:rsid w:val="009318C8"/>
    <w:rsid w:val="0095128F"/>
    <w:rsid w:val="009605D9"/>
    <w:rsid w:val="00970A0B"/>
    <w:rsid w:val="00975F76"/>
    <w:rsid w:val="009767D2"/>
    <w:rsid w:val="0097780B"/>
    <w:rsid w:val="0098426F"/>
    <w:rsid w:val="0099752F"/>
    <w:rsid w:val="009B155B"/>
    <w:rsid w:val="009B1FE3"/>
    <w:rsid w:val="009B2ACA"/>
    <w:rsid w:val="009B4690"/>
    <w:rsid w:val="009B4FAD"/>
    <w:rsid w:val="009B5866"/>
    <w:rsid w:val="009B609D"/>
    <w:rsid w:val="009B7120"/>
    <w:rsid w:val="009B7D6E"/>
    <w:rsid w:val="009C0864"/>
    <w:rsid w:val="009C62A7"/>
    <w:rsid w:val="009D32C5"/>
    <w:rsid w:val="009E4E6E"/>
    <w:rsid w:val="009F0773"/>
    <w:rsid w:val="009F5F1A"/>
    <w:rsid w:val="00A0138E"/>
    <w:rsid w:val="00A0642B"/>
    <w:rsid w:val="00A107E8"/>
    <w:rsid w:val="00A238CF"/>
    <w:rsid w:val="00A24544"/>
    <w:rsid w:val="00A2558A"/>
    <w:rsid w:val="00A274AC"/>
    <w:rsid w:val="00A276BE"/>
    <w:rsid w:val="00A2795B"/>
    <w:rsid w:val="00A27E2A"/>
    <w:rsid w:val="00A3399E"/>
    <w:rsid w:val="00A35254"/>
    <w:rsid w:val="00A35F65"/>
    <w:rsid w:val="00A37031"/>
    <w:rsid w:val="00A408A6"/>
    <w:rsid w:val="00A53A2F"/>
    <w:rsid w:val="00A55A76"/>
    <w:rsid w:val="00A628AE"/>
    <w:rsid w:val="00A713A0"/>
    <w:rsid w:val="00A73360"/>
    <w:rsid w:val="00A850E3"/>
    <w:rsid w:val="00A91C88"/>
    <w:rsid w:val="00A9711E"/>
    <w:rsid w:val="00AA0225"/>
    <w:rsid w:val="00AA2D55"/>
    <w:rsid w:val="00AB2FEE"/>
    <w:rsid w:val="00AB41D4"/>
    <w:rsid w:val="00AB4F14"/>
    <w:rsid w:val="00AD21F5"/>
    <w:rsid w:val="00AE5204"/>
    <w:rsid w:val="00AF4264"/>
    <w:rsid w:val="00AF5501"/>
    <w:rsid w:val="00AF6FB0"/>
    <w:rsid w:val="00B00C9F"/>
    <w:rsid w:val="00B04DD0"/>
    <w:rsid w:val="00B243AC"/>
    <w:rsid w:val="00B2514F"/>
    <w:rsid w:val="00B27BD4"/>
    <w:rsid w:val="00B3072C"/>
    <w:rsid w:val="00B32D89"/>
    <w:rsid w:val="00B35EC8"/>
    <w:rsid w:val="00B46203"/>
    <w:rsid w:val="00B5448D"/>
    <w:rsid w:val="00B619D7"/>
    <w:rsid w:val="00B627A2"/>
    <w:rsid w:val="00B645FC"/>
    <w:rsid w:val="00B7154E"/>
    <w:rsid w:val="00B723DD"/>
    <w:rsid w:val="00B72605"/>
    <w:rsid w:val="00B73925"/>
    <w:rsid w:val="00B75735"/>
    <w:rsid w:val="00B76B76"/>
    <w:rsid w:val="00B85BDA"/>
    <w:rsid w:val="00BA3047"/>
    <w:rsid w:val="00BA6EC6"/>
    <w:rsid w:val="00BB5BAB"/>
    <w:rsid w:val="00BC3579"/>
    <w:rsid w:val="00BD2DD6"/>
    <w:rsid w:val="00BE6F89"/>
    <w:rsid w:val="00BF156B"/>
    <w:rsid w:val="00BF491A"/>
    <w:rsid w:val="00C012A8"/>
    <w:rsid w:val="00C022BB"/>
    <w:rsid w:val="00C17403"/>
    <w:rsid w:val="00C22141"/>
    <w:rsid w:val="00C231D9"/>
    <w:rsid w:val="00C26BDD"/>
    <w:rsid w:val="00C27BAD"/>
    <w:rsid w:val="00C33805"/>
    <w:rsid w:val="00C353D9"/>
    <w:rsid w:val="00C35654"/>
    <w:rsid w:val="00C36F8B"/>
    <w:rsid w:val="00C56966"/>
    <w:rsid w:val="00C64F00"/>
    <w:rsid w:val="00C65A93"/>
    <w:rsid w:val="00C7064F"/>
    <w:rsid w:val="00C85F3E"/>
    <w:rsid w:val="00C903C0"/>
    <w:rsid w:val="00C90EAB"/>
    <w:rsid w:val="00C96499"/>
    <w:rsid w:val="00CA2F6E"/>
    <w:rsid w:val="00CA3163"/>
    <w:rsid w:val="00CA4409"/>
    <w:rsid w:val="00CA5E2B"/>
    <w:rsid w:val="00CB0FB5"/>
    <w:rsid w:val="00CB1217"/>
    <w:rsid w:val="00CB5512"/>
    <w:rsid w:val="00CD4772"/>
    <w:rsid w:val="00CD6480"/>
    <w:rsid w:val="00CD7B56"/>
    <w:rsid w:val="00CE2B57"/>
    <w:rsid w:val="00CE65E4"/>
    <w:rsid w:val="00CF4C19"/>
    <w:rsid w:val="00D020A1"/>
    <w:rsid w:val="00D06B45"/>
    <w:rsid w:val="00D1398C"/>
    <w:rsid w:val="00D23639"/>
    <w:rsid w:val="00D31E69"/>
    <w:rsid w:val="00D51945"/>
    <w:rsid w:val="00D54CA2"/>
    <w:rsid w:val="00D55EB8"/>
    <w:rsid w:val="00D65A98"/>
    <w:rsid w:val="00D71BED"/>
    <w:rsid w:val="00D75313"/>
    <w:rsid w:val="00D75D9F"/>
    <w:rsid w:val="00D810CD"/>
    <w:rsid w:val="00D86C11"/>
    <w:rsid w:val="00D93AA4"/>
    <w:rsid w:val="00D97205"/>
    <w:rsid w:val="00DA69D1"/>
    <w:rsid w:val="00DB39AF"/>
    <w:rsid w:val="00DB5606"/>
    <w:rsid w:val="00DB77A9"/>
    <w:rsid w:val="00DB7DD1"/>
    <w:rsid w:val="00DC2CFD"/>
    <w:rsid w:val="00DC7665"/>
    <w:rsid w:val="00DD50F5"/>
    <w:rsid w:val="00DE1305"/>
    <w:rsid w:val="00DE36C1"/>
    <w:rsid w:val="00DF6D45"/>
    <w:rsid w:val="00E002E5"/>
    <w:rsid w:val="00E04FF5"/>
    <w:rsid w:val="00E13300"/>
    <w:rsid w:val="00E142CC"/>
    <w:rsid w:val="00E16143"/>
    <w:rsid w:val="00E2124E"/>
    <w:rsid w:val="00E21522"/>
    <w:rsid w:val="00E274C4"/>
    <w:rsid w:val="00E27CB5"/>
    <w:rsid w:val="00E32A3C"/>
    <w:rsid w:val="00E40EC2"/>
    <w:rsid w:val="00E469A2"/>
    <w:rsid w:val="00E63EE8"/>
    <w:rsid w:val="00E64F8A"/>
    <w:rsid w:val="00E6676D"/>
    <w:rsid w:val="00E66ADD"/>
    <w:rsid w:val="00E70D6B"/>
    <w:rsid w:val="00E721B4"/>
    <w:rsid w:val="00E73B86"/>
    <w:rsid w:val="00E749FD"/>
    <w:rsid w:val="00E76940"/>
    <w:rsid w:val="00E8379B"/>
    <w:rsid w:val="00E856FE"/>
    <w:rsid w:val="00E866CC"/>
    <w:rsid w:val="00E9009C"/>
    <w:rsid w:val="00E90B54"/>
    <w:rsid w:val="00E93427"/>
    <w:rsid w:val="00E95405"/>
    <w:rsid w:val="00E9596D"/>
    <w:rsid w:val="00EB326D"/>
    <w:rsid w:val="00EB6D4A"/>
    <w:rsid w:val="00EC3008"/>
    <w:rsid w:val="00EC3CB8"/>
    <w:rsid w:val="00EC3D1A"/>
    <w:rsid w:val="00EE17AB"/>
    <w:rsid w:val="00EF54FD"/>
    <w:rsid w:val="00F00CEB"/>
    <w:rsid w:val="00F04A7E"/>
    <w:rsid w:val="00F0516F"/>
    <w:rsid w:val="00F15D26"/>
    <w:rsid w:val="00F172C4"/>
    <w:rsid w:val="00F211B8"/>
    <w:rsid w:val="00F21E4A"/>
    <w:rsid w:val="00F245CF"/>
    <w:rsid w:val="00F255F2"/>
    <w:rsid w:val="00F27966"/>
    <w:rsid w:val="00F27D88"/>
    <w:rsid w:val="00F353DF"/>
    <w:rsid w:val="00F4327F"/>
    <w:rsid w:val="00F44CD6"/>
    <w:rsid w:val="00F47132"/>
    <w:rsid w:val="00F54121"/>
    <w:rsid w:val="00F62D94"/>
    <w:rsid w:val="00F70EC8"/>
    <w:rsid w:val="00F922F7"/>
    <w:rsid w:val="00F92F6F"/>
    <w:rsid w:val="00F969AE"/>
    <w:rsid w:val="00FA1D4C"/>
    <w:rsid w:val="00FC1267"/>
    <w:rsid w:val="00FC413B"/>
    <w:rsid w:val="00FC6A2B"/>
    <w:rsid w:val="00FD44C8"/>
    <w:rsid w:val="00FD5FCA"/>
    <w:rsid w:val="00FE104A"/>
    <w:rsid w:val="00FE7126"/>
    <w:rsid w:val="00FF57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7D"/>
    <w:pPr>
      <w:spacing w:after="200" w:line="276" w:lineRule="auto"/>
    </w:pPr>
    <w:rPr>
      <w:sz w:val="22"/>
      <w:szCs w:val="22"/>
      <w:lang w:eastAsia="en-US"/>
    </w:rPr>
  </w:style>
  <w:style w:type="paragraph" w:styleId="Heading1">
    <w:name w:val="heading 1"/>
    <w:basedOn w:val="Normal"/>
    <w:next w:val="Normal"/>
    <w:link w:val="Heading1Char"/>
    <w:uiPriority w:val="9"/>
    <w:qFormat/>
    <w:rsid w:val="0016231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6231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31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62319"/>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713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5AB"/>
    <w:rPr>
      <w:rFonts w:ascii="Tahoma" w:hAnsi="Tahoma" w:cs="Tahoma"/>
      <w:sz w:val="16"/>
      <w:szCs w:val="16"/>
    </w:rPr>
  </w:style>
  <w:style w:type="paragraph" w:styleId="Header">
    <w:name w:val="header"/>
    <w:basedOn w:val="Normal"/>
    <w:link w:val="HeaderChar"/>
    <w:uiPriority w:val="99"/>
    <w:unhideWhenUsed/>
    <w:rsid w:val="0071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5AB"/>
  </w:style>
  <w:style w:type="paragraph" w:styleId="Footer">
    <w:name w:val="footer"/>
    <w:basedOn w:val="Normal"/>
    <w:link w:val="FooterChar"/>
    <w:uiPriority w:val="99"/>
    <w:unhideWhenUsed/>
    <w:rsid w:val="0071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5AB"/>
  </w:style>
  <w:style w:type="character" w:styleId="Hyperlink">
    <w:name w:val="Hyperlink"/>
    <w:uiPriority w:val="99"/>
    <w:unhideWhenUsed/>
    <w:rsid w:val="00C56966"/>
    <w:rPr>
      <w:color w:val="0000FF"/>
      <w:u w:val="single"/>
    </w:rPr>
  </w:style>
  <w:style w:type="paragraph" w:styleId="ListParagraph">
    <w:name w:val="List Paragraph"/>
    <w:basedOn w:val="Normal"/>
    <w:uiPriority w:val="34"/>
    <w:qFormat/>
    <w:rsid w:val="00A713A0"/>
    <w:pPr>
      <w:ind w:left="720"/>
      <w:contextualSpacing/>
    </w:pPr>
  </w:style>
  <w:style w:type="character" w:styleId="CommentReference">
    <w:name w:val="annotation reference"/>
    <w:basedOn w:val="DefaultParagraphFont"/>
    <w:uiPriority w:val="99"/>
    <w:semiHidden/>
    <w:unhideWhenUsed/>
    <w:rsid w:val="00E866CC"/>
    <w:rPr>
      <w:sz w:val="16"/>
      <w:szCs w:val="16"/>
    </w:rPr>
  </w:style>
  <w:style w:type="paragraph" w:styleId="CommentText">
    <w:name w:val="annotation text"/>
    <w:basedOn w:val="Normal"/>
    <w:link w:val="CommentTextChar"/>
    <w:uiPriority w:val="99"/>
    <w:semiHidden/>
    <w:unhideWhenUsed/>
    <w:rsid w:val="00E866CC"/>
    <w:pPr>
      <w:spacing w:line="240" w:lineRule="auto"/>
    </w:pPr>
    <w:rPr>
      <w:sz w:val="20"/>
      <w:szCs w:val="20"/>
    </w:rPr>
  </w:style>
  <w:style w:type="character" w:customStyle="1" w:styleId="CommentTextChar">
    <w:name w:val="Comment Text Char"/>
    <w:basedOn w:val="DefaultParagraphFont"/>
    <w:link w:val="CommentText"/>
    <w:uiPriority w:val="99"/>
    <w:semiHidden/>
    <w:rsid w:val="00E866CC"/>
    <w:rPr>
      <w:lang w:eastAsia="en-US"/>
    </w:rPr>
  </w:style>
  <w:style w:type="paragraph" w:styleId="CommentSubject">
    <w:name w:val="annotation subject"/>
    <w:basedOn w:val="CommentText"/>
    <w:next w:val="CommentText"/>
    <w:link w:val="CommentSubjectChar"/>
    <w:uiPriority w:val="99"/>
    <w:semiHidden/>
    <w:unhideWhenUsed/>
    <w:rsid w:val="00E866CC"/>
    <w:rPr>
      <w:b/>
      <w:bCs/>
    </w:rPr>
  </w:style>
  <w:style w:type="character" w:customStyle="1" w:styleId="CommentSubjectChar">
    <w:name w:val="Comment Subject Char"/>
    <w:basedOn w:val="CommentTextChar"/>
    <w:link w:val="CommentSubject"/>
    <w:uiPriority w:val="99"/>
    <w:semiHidden/>
    <w:rsid w:val="00E866CC"/>
    <w:rPr>
      <w:b/>
      <w:bCs/>
      <w:lang w:eastAsia="en-US"/>
    </w:rPr>
  </w:style>
  <w:style w:type="paragraph" w:customStyle="1" w:styleId="Default">
    <w:name w:val="Default"/>
    <w:rsid w:val="00133516"/>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977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80B"/>
    <w:rPr>
      <w:lang w:eastAsia="en-US"/>
    </w:rPr>
  </w:style>
  <w:style w:type="character" w:styleId="FootnoteReference">
    <w:name w:val="footnote reference"/>
    <w:aliases w:val="GEIR_Footnote reference number_superscript"/>
    <w:basedOn w:val="DefaultParagraphFont"/>
    <w:uiPriority w:val="99"/>
    <w:unhideWhenUsed/>
    <w:rsid w:val="0097780B"/>
    <w:rPr>
      <w:vertAlign w:val="superscript"/>
    </w:rPr>
  </w:style>
  <w:style w:type="paragraph" w:styleId="Caption">
    <w:name w:val="caption"/>
    <w:basedOn w:val="Normal"/>
    <w:next w:val="Normal"/>
    <w:uiPriority w:val="35"/>
    <w:unhideWhenUsed/>
    <w:qFormat/>
    <w:rsid w:val="0050646C"/>
    <w:pPr>
      <w:spacing w:line="240" w:lineRule="auto"/>
    </w:pPr>
    <w:rPr>
      <w:b/>
      <w:bCs/>
      <w:color w:val="4F81BD" w:themeColor="accent1"/>
      <w:sz w:val="18"/>
      <w:szCs w:val="18"/>
    </w:rPr>
  </w:style>
  <w:style w:type="character" w:customStyle="1" w:styleId="GEIRNumTableNumFigureNumBox">
    <w:name w:val="GEIR_NumTable_NumFigure_NumBox"/>
    <w:basedOn w:val="DefaultParagraphFont"/>
    <w:uiPriority w:val="4"/>
    <w:unhideWhenUsed/>
    <w:qFormat/>
    <w:rsid w:val="003D0F0A"/>
    <w:rPr>
      <w:rFonts w:asciiTheme="minorHAnsi" w:hAnsiTheme="minorHAnsi"/>
      <w:b/>
      <w:sz w:val="24"/>
    </w:rPr>
  </w:style>
  <w:style w:type="character" w:customStyle="1" w:styleId="GEIRTable-Figure-BoxBlueBullet">
    <w:name w:val="GEIR_Table-Figure-Box_Blue Bullet"/>
    <w:basedOn w:val="DefaultParagraphFont"/>
    <w:uiPriority w:val="1"/>
    <w:qFormat/>
    <w:rsid w:val="003D0F0A"/>
    <w:rPr>
      <w:rFonts w:cs="Arial"/>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7D"/>
    <w:pPr>
      <w:spacing w:after="200" w:line="276" w:lineRule="auto"/>
    </w:pPr>
    <w:rPr>
      <w:sz w:val="22"/>
      <w:szCs w:val="22"/>
      <w:lang w:eastAsia="en-US"/>
    </w:rPr>
  </w:style>
  <w:style w:type="paragraph" w:styleId="Heading1">
    <w:name w:val="heading 1"/>
    <w:basedOn w:val="Normal"/>
    <w:next w:val="Normal"/>
    <w:link w:val="Heading1Char"/>
    <w:uiPriority w:val="9"/>
    <w:qFormat/>
    <w:rsid w:val="0016231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6231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31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62319"/>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713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5AB"/>
    <w:rPr>
      <w:rFonts w:ascii="Tahoma" w:hAnsi="Tahoma" w:cs="Tahoma"/>
      <w:sz w:val="16"/>
      <w:szCs w:val="16"/>
    </w:rPr>
  </w:style>
  <w:style w:type="paragraph" w:styleId="Header">
    <w:name w:val="header"/>
    <w:basedOn w:val="Normal"/>
    <w:link w:val="HeaderChar"/>
    <w:uiPriority w:val="99"/>
    <w:unhideWhenUsed/>
    <w:rsid w:val="0071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5AB"/>
  </w:style>
  <w:style w:type="paragraph" w:styleId="Footer">
    <w:name w:val="footer"/>
    <w:basedOn w:val="Normal"/>
    <w:link w:val="FooterChar"/>
    <w:uiPriority w:val="99"/>
    <w:unhideWhenUsed/>
    <w:rsid w:val="0071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5AB"/>
  </w:style>
  <w:style w:type="character" w:styleId="Hyperlink">
    <w:name w:val="Hyperlink"/>
    <w:uiPriority w:val="99"/>
    <w:unhideWhenUsed/>
    <w:rsid w:val="00C56966"/>
    <w:rPr>
      <w:color w:val="0000FF"/>
      <w:u w:val="single"/>
    </w:rPr>
  </w:style>
  <w:style w:type="paragraph" w:styleId="ListParagraph">
    <w:name w:val="List Paragraph"/>
    <w:basedOn w:val="Normal"/>
    <w:uiPriority w:val="34"/>
    <w:qFormat/>
    <w:rsid w:val="00A713A0"/>
    <w:pPr>
      <w:ind w:left="720"/>
      <w:contextualSpacing/>
    </w:pPr>
  </w:style>
  <w:style w:type="character" w:styleId="CommentReference">
    <w:name w:val="annotation reference"/>
    <w:basedOn w:val="DefaultParagraphFont"/>
    <w:uiPriority w:val="99"/>
    <w:semiHidden/>
    <w:unhideWhenUsed/>
    <w:rsid w:val="00E866CC"/>
    <w:rPr>
      <w:sz w:val="16"/>
      <w:szCs w:val="16"/>
    </w:rPr>
  </w:style>
  <w:style w:type="paragraph" w:styleId="CommentText">
    <w:name w:val="annotation text"/>
    <w:basedOn w:val="Normal"/>
    <w:link w:val="CommentTextChar"/>
    <w:uiPriority w:val="99"/>
    <w:semiHidden/>
    <w:unhideWhenUsed/>
    <w:rsid w:val="00E866CC"/>
    <w:pPr>
      <w:spacing w:line="240" w:lineRule="auto"/>
    </w:pPr>
    <w:rPr>
      <w:sz w:val="20"/>
      <w:szCs w:val="20"/>
    </w:rPr>
  </w:style>
  <w:style w:type="character" w:customStyle="1" w:styleId="CommentTextChar">
    <w:name w:val="Comment Text Char"/>
    <w:basedOn w:val="DefaultParagraphFont"/>
    <w:link w:val="CommentText"/>
    <w:uiPriority w:val="99"/>
    <w:semiHidden/>
    <w:rsid w:val="00E866CC"/>
    <w:rPr>
      <w:lang w:eastAsia="en-US"/>
    </w:rPr>
  </w:style>
  <w:style w:type="paragraph" w:styleId="CommentSubject">
    <w:name w:val="annotation subject"/>
    <w:basedOn w:val="CommentText"/>
    <w:next w:val="CommentText"/>
    <w:link w:val="CommentSubjectChar"/>
    <w:uiPriority w:val="99"/>
    <w:semiHidden/>
    <w:unhideWhenUsed/>
    <w:rsid w:val="00E866CC"/>
    <w:rPr>
      <w:b/>
      <w:bCs/>
    </w:rPr>
  </w:style>
  <w:style w:type="character" w:customStyle="1" w:styleId="CommentSubjectChar">
    <w:name w:val="Comment Subject Char"/>
    <w:basedOn w:val="CommentTextChar"/>
    <w:link w:val="CommentSubject"/>
    <w:uiPriority w:val="99"/>
    <w:semiHidden/>
    <w:rsid w:val="00E866CC"/>
    <w:rPr>
      <w:b/>
      <w:bCs/>
      <w:lang w:eastAsia="en-US"/>
    </w:rPr>
  </w:style>
  <w:style w:type="paragraph" w:customStyle="1" w:styleId="Default">
    <w:name w:val="Default"/>
    <w:rsid w:val="00133516"/>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977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80B"/>
    <w:rPr>
      <w:lang w:eastAsia="en-US"/>
    </w:rPr>
  </w:style>
  <w:style w:type="character" w:styleId="FootnoteReference">
    <w:name w:val="footnote reference"/>
    <w:aliases w:val="GEIR_Footnote reference number_superscript"/>
    <w:basedOn w:val="DefaultParagraphFont"/>
    <w:uiPriority w:val="99"/>
    <w:unhideWhenUsed/>
    <w:rsid w:val="0097780B"/>
    <w:rPr>
      <w:vertAlign w:val="superscript"/>
    </w:rPr>
  </w:style>
  <w:style w:type="paragraph" w:styleId="Caption">
    <w:name w:val="caption"/>
    <w:basedOn w:val="Normal"/>
    <w:next w:val="Normal"/>
    <w:uiPriority w:val="35"/>
    <w:unhideWhenUsed/>
    <w:qFormat/>
    <w:rsid w:val="0050646C"/>
    <w:pPr>
      <w:spacing w:line="240" w:lineRule="auto"/>
    </w:pPr>
    <w:rPr>
      <w:b/>
      <w:bCs/>
      <w:color w:val="4F81BD" w:themeColor="accent1"/>
      <w:sz w:val="18"/>
      <w:szCs w:val="18"/>
    </w:rPr>
  </w:style>
  <w:style w:type="character" w:customStyle="1" w:styleId="GEIRNumTableNumFigureNumBox">
    <w:name w:val="GEIR_NumTable_NumFigure_NumBox"/>
    <w:basedOn w:val="DefaultParagraphFont"/>
    <w:uiPriority w:val="4"/>
    <w:unhideWhenUsed/>
    <w:qFormat/>
    <w:rsid w:val="003D0F0A"/>
    <w:rPr>
      <w:rFonts w:asciiTheme="minorHAnsi" w:hAnsiTheme="minorHAnsi"/>
      <w:b/>
      <w:sz w:val="24"/>
    </w:rPr>
  </w:style>
  <w:style w:type="character" w:customStyle="1" w:styleId="GEIRTable-Figure-BoxBlueBullet">
    <w:name w:val="GEIR_Table-Figure-Box_Blue Bullet"/>
    <w:basedOn w:val="DefaultParagraphFont"/>
    <w:uiPriority w:val="1"/>
    <w:qFormat/>
    <w:rsid w:val="003D0F0A"/>
    <w:rPr>
      <w:rFonts w:cs="Arial"/>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66235">
      <w:bodyDiv w:val="1"/>
      <w:marLeft w:val="0"/>
      <w:marRight w:val="0"/>
      <w:marTop w:val="0"/>
      <w:marBottom w:val="0"/>
      <w:divBdr>
        <w:top w:val="none" w:sz="0" w:space="0" w:color="auto"/>
        <w:left w:val="none" w:sz="0" w:space="0" w:color="auto"/>
        <w:bottom w:val="none" w:sz="0" w:space="0" w:color="auto"/>
        <w:right w:val="none" w:sz="0" w:space="0" w:color="auto"/>
      </w:divBdr>
      <w:divsChild>
        <w:div w:id="1452364004">
          <w:marLeft w:val="547"/>
          <w:marRight w:val="0"/>
          <w:marTop w:val="58"/>
          <w:marBottom w:val="0"/>
          <w:divBdr>
            <w:top w:val="none" w:sz="0" w:space="0" w:color="auto"/>
            <w:left w:val="none" w:sz="0" w:space="0" w:color="auto"/>
            <w:bottom w:val="none" w:sz="0" w:space="0" w:color="auto"/>
            <w:right w:val="none" w:sz="0" w:space="0" w:color="auto"/>
          </w:divBdr>
        </w:div>
        <w:div w:id="1902523009">
          <w:marLeft w:val="547"/>
          <w:marRight w:val="0"/>
          <w:marTop w:val="58"/>
          <w:marBottom w:val="0"/>
          <w:divBdr>
            <w:top w:val="none" w:sz="0" w:space="0" w:color="auto"/>
            <w:left w:val="none" w:sz="0" w:space="0" w:color="auto"/>
            <w:bottom w:val="none" w:sz="0" w:space="0" w:color="auto"/>
            <w:right w:val="none" w:sz="0" w:space="0" w:color="auto"/>
          </w:divBdr>
        </w:div>
        <w:div w:id="1558936143">
          <w:marLeft w:val="547"/>
          <w:marRight w:val="0"/>
          <w:marTop w:val="58"/>
          <w:marBottom w:val="0"/>
          <w:divBdr>
            <w:top w:val="none" w:sz="0" w:space="0" w:color="auto"/>
            <w:left w:val="none" w:sz="0" w:space="0" w:color="auto"/>
            <w:bottom w:val="none" w:sz="0" w:space="0" w:color="auto"/>
            <w:right w:val="none" w:sz="0" w:space="0" w:color="auto"/>
          </w:divBdr>
        </w:div>
        <w:div w:id="1409963015">
          <w:marLeft w:val="547"/>
          <w:marRight w:val="0"/>
          <w:marTop w:val="58"/>
          <w:marBottom w:val="0"/>
          <w:divBdr>
            <w:top w:val="none" w:sz="0" w:space="0" w:color="auto"/>
            <w:left w:val="none" w:sz="0" w:space="0" w:color="auto"/>
            <w:bottom w:val="none" w:sz="0" w:space="0" w:color="auto"/>
            <w:right w:val="none" w:sz="0" w:space="0" w:color="auto"/>
          </w:divBdr>
        </w:div>
        <w:div w:id="1736470411">
          <w:marLeft w:val="547"/>
          <w:marRight w:val="0"/>
          <w:marTop w:val="58"/>
          <w:marBottom w:val="0"/>
          <w:divBdr>
            <w:top w:val="none" w:sz="0" w:space="0" w:color="auto"/>
            <w:left w:val="none" w:sz="0" w:space="0" w:color="auto"/>
            <w:bottom w:val="none" w:sz="0" w:space="0" w:color="auto"/>
            <w:right w:val="none" w:sz="0" w:space="0" w:color="auto"/>
          </w:divBdr>
        </w:div>
      </w:divsChild>
    </w:div>
    <w:div w:id="1623725207">
      <w:bodyDiv w:val="1"/>
      <w:marLeft w:val="0"/>
      <w:marRight w:val="0"/>
      <w:marTop w:val="0"/>
      <w:marBottom w:val="0"/>
      <w:divBdr>
        <w:top w:val="none" w:sz="0" w:space="0" w:color="auto"/>
        <w:left w:val="none" w:sz="0" w:space="0" w:color="auto"/>
        <w:bottom w:val="none" w:sz="0" w:space="0" w:color="auto"/>
        <w:right w:val="none" w:sz="0" w:space="0" w:color="auto"/>
      </w:divBdr>
      <w:divsChild>
        <w:div w:id="48114540">
          <w:marLeft w:val="547"/>
          <w:marRight w:val="0"/>
          <w:marTop w:val="58"/>
          <w:marBottom w:val="0"/>
          <w:divBdr>
            <w:top w:val="none" w:sz="0" w:space="0" w:color="auto"/>
            <w:left w:val="none" w:sz="0" w:space="0" w:color="auto"/>
            <w:bottom w:val="none" w:sz="0" w:space="0" w:color="auto"/>
            <w:right w:val="none" w:sz="0" w:space="0" w:color="auto"/>
          </w:divBdr>
        </w:div>
        <w:div w:id="164128761">
          <w:marLeft w:val="547"/>
          <w:marRight w:val="0"/>
          <w:marTop w:val="58"/>
          <w:marBottom w:val="0"/>
          <w:divBdr>
            <w:top w:val="none" w:sz="0" w:space="0" w:color="auto"/>
            <w:left w:val="none" w:sz="0" w:space="0" w:color="auto"/>
            <w:bottom w:val="none" w:sz="0" w:space="0" w:color="auto"/>
            <w:right w:val="none" w:sz="0" w:space="0" w:color="auto"/>
          </w:divBdr>
        </w:div>
        <w:div w:id="327250639">
          <w:marLeft w:val="547"/>
          <w:marRight w:val="0"/>
          <w:marTop w:val="58"/>
          <w:marBottom w:val="0"/>
          <w:divBdr>
            <w:top w:val="none" w:sz="0" w:space="0" w:color="auto"/>
            <w:left w:val="none" w:sz="0" w:space="0" w:color="auto"/>
            <w:bottom w:val="none" w:sz="0" w:space="0" w:color="auto"/>
            <w:right w:val="none" w:sz="0" w:space="0" w:color="auto"/>
          </w:divBdr>
        </w:div>
        <w:div w:id="717095867">
          <w:marLeft w:val="547"/>
          <w:marRight w:val="0"/>
          <w:marTop w:val="58"/>
          <w:marBottom w:val="0"/>
          <w:divBdr>
            <w:top w:val="none" w:sz="0" w:space="0" w:color="auto"/>
            <w:left w:val="none" w:sz="0" w:space="0" w:color="auto"/>
            <w:bottom w:val="none" w:sz="0" w:space="0" w:color="auto"/>
            <w:right w:val="none" w:sz="0" w:space="0" w:color="auto"/>
          </w:divBdr>
        </w:div>
        <w:div w:id="424888834">
          <w:marLeft w:val="547"/>
          <w:marRight w:val="0"/>
          <w:marTop w:val="58"/>
          <w:marBottom w:val="0"/>
          <w:divBdr>
            <w:top w:val="none" w:sz="0" w:space="0" w:color="auto"/>
            <w:left w:val="none" w:sz="0" w:space="0" w:color="auto"/>
            <w:bottom w:val="none" w:sz="0" w:space="0" w:color="auto"/>
            <w:right w:val="none" w:sz="0" w:space="0" w:color="auto"/>
          </w:divBdr>
        </w:div>
        <w:div w:id="1489127841">
          <w:marLeft w:val="547"/>
          <w:marRight w:val="0"/>
          <w:marTop w:val="58"/>
          <w:marBottom w:val="0"/>
          <w:divBdr>
            <w:top w:val="none" w:sz="0" w:space="0" w:color="auto"/>
            <w:left w:val="none" w:sz="0" w:space="0" w:color="auto"/>
            <w:bottom w:val="none" w:sz="0" w:space="0" w:color="auto"/>
            <w:right w:val="none" w:sz="0" w:space="0" w:color="auto"/>
          </w:divBdr>
        </w:div>
        <w:div w:id="1418481519">
          <w:marLeft w:val="547"/>
          <w:marRight w:val="0"/>
          <w:marTop w:val="58"/>
          <w:marBottom w:val="0"/>
          <w:divBdr>
            <w:top w:val="none" w:sz="0" w:space="0" w:color="auto"/>
            <w:left w:val="none" w:sz="0" w:space="0" w:color="auto"/>
            <w:bottom w:val="none" w:sz="0" w:space="0" w:color="auto"/>
            <w:right w:val="none" w:sz="0" w:space="0" w:color="auto"/>
          </w:divBdr>
        </w:div>
        <w:div w:id="1936984823">
          <w:marLeft w:val="547"/>
          <w:marRight w:val="0"/>
          <w:marTop w:val="58"/>
          <w:marBottom w:val="0"/>
          <w:divBdr>
            <w:top w:val="none" w:sz="0" w:space="0" w:color="auto"/>
            <w:left w:val="none" w:sz="0" w:space="0" w:color="auto"/>
            <w:bottom w:val="none" w:sz="0" w:space="0" w:color="auto"/>
            <w:right w:val="none" w:sz="0" w:space="0" w:color="auto"/>
          </w:divBdr>
        </w:div>
        <w:div w:id="1007713789">
          <w:marLeft w:val="547"/>
          <w:marRight w:val="0"/>
          <w:marTop w:val="58"/>
          <w:marBottom w:val="0"/>
          <w:divBdr>
            <w:top w:val="none" w:sz="0" w:space="0" w:color="auto"/>
            <w:left w:val="none" w:sz="0" w:space="0" w:color="auto"/>
            <w:bottom w:val="none" w:sz="0" w:space="0" w:color="auto"/>
            <w:right w:val="none" w:sz="0" w:space="0" w:color="auto"/>
          </w:divBdr>
        </w:div>
        <w:div w:id="894242456">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ea.org/bookshop/731-World_Energy_Investment_20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Templates\IEA\IEA%20Lett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222E-DF1A-4EFC-B8FF-4BC83BA8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IEA Letter colour</Template>
  <TotalTime>1</TotalTime>
  <Pages>11</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International Energy Agency</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GRENIER Lisa Marie</dc:creator>
  <cp:lastModifiedBy>MOUAWAD Jad</cp:lastModifiedBy>
  <cp:revision>2</cp:revision>
  <cp:lastPrinted>2016-09-23T10:24:00Z</cp:lastPrinted>
  <dcterms:created xsi:type="dcterms:W3CDTF">2016-09-26T15:04:00Z</dcterms:created>
  <dcterms:modified xsi:type="dcterms:W3CDTF">2016-09-26T15:04:00Z</dcterms:modified>
</cp:coreProperties>
</file>